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4"/>
        <w:gridCol w:w="1396"/>
        <w:gridCol w:w="709"/>
        <w:gridCol w:w="4252"/>
        <w:gridCol w:w="1843"/>
        <w:gridCol w:w="2410"/>
        <w:gridCol w:w="3402"/>
      </w:tblGrid>
      <w:tr w:rsidR="00232C2B" w:rsidRPr="002A2ABC" w:rsidTr="006F7D53">
        <w:trPr>
          <w:trHeight w:val="340"/>
          <w:tblHeader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4" w:type="dxa"/>
              <w:bottom w:w="284" w:type="dxa"/>
            </w:tcMar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14012" w:type="dxa"/>
            <w:gridSpan w:val="6"/>
            <w:tcBorders>
              <w:left w:val="nil"/>
            </w:tcBorders>
            <w:vAlign w:val="center"/>
          </w:tcPr>
          <w:p w:rsidR="00232C2B" w:rsidRDefault="00DA68D3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>CATALOGO MISURE SPECIFICHE DI PREVENZIONE</w:t>
            </w:r>
          </w:p>
          <w:p w:rsidR="006F19C2" w:rsidRDefault="006F19C2" w:rsidP="006F19C2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spacing w:val="50"/>
                <w:sz w:val="20"/>
                <w:szCs w:val="20"/>
              </w:rPr>
            </w:pPr>
            <w:r w:rsidRPr="006F19C2">
              <w:rPr>
                <w:spacing w:val="50"/>
                <w:sz w:val="20"/>
                <w:szCs w:val="20"/>
              </w:rPr>
              <w:t xml:space="preserve">                </w:t>
            </w:r>
            <w:r>
              <w:rPr>
                <w:spacing w:val="50"/>
                <w:sz w:val="20"/>
                <w:szCs w:val="20"/>
              </w:rPr>
              <w:t xml:space="preserve">                                                              </w:t>
            </w:r>
            <w:r w:rsidR="006F7D53">
              <w:rPr>
                <w:spacing w:val="50"/>
                <w:sz w:val="20"/>
                <w:szCs w:val="20"/>
              </w:rPr>
              <w:t xml:space="preserve">                           </w:t>
            </w:r>
            <w:r w:rsidRPr="006F19C2">
              <w:rPr>
                <w:spacing w:val="50"/>
                <w:sz w:val="20"/>
                <w:szCs w:val="20"/>
              </w:rPr>
              <w:t xml:space="preserve"> </w:t>
            </w:r>
            <w:r w:rsidRPr="006F19C2">
              <w:rPr>
                <w:b/>
                <w:spacing w:val="50"/>
                <w:sz w:val="20"/>
                <w:szCs w:val="20"/>
              </w:rPr>
              <w:t>Allegato 5</w:t>
            </w:r>
          </w:p>
          <w:p w:rsidR="006F7D53" w:rsidRPr="006F19C2" w:rsidRDefault="006F7D53" w:rsidP="006F7D53">
            <w:pPr>
              <w:pStyle w:val="Paragrafoelenco1"/>
              <w:spacing w:after="0" w:line="240" w:lineRule="auto"/>
              <w:ind w:left="-8"/>
              <w:jc w:val="right"/>
              <w:rPr>
                <w:b/>
                <w:spacing w:val="50"/>
                <w:sz w:val="20"/>
                <w:szCs w:val="20"/>
              </w:rPr>
            </w:pPr>
            <w:r>
              <w:rPr>
                <w:b/>
                <w:spacing w:val="50"/>
                <w:sz w:val="20"/>
                <w:szCs w:val="20"/>
              </w:rPr>
              <w:t xml:space="preserve">                                                Al PTPCT 2018/2020</w:t>
            </w:r>
          </w:p>
        </w:tc>
      </w:tr>
      <w:tr w:rsidR="00232C2B" w:rsidRPr="002A2ABC" w:rsidTr="006F7D53">
        <w:trPr>
          <w:trHeight w:val="162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2C2B" w:rsidRPr="002A2ABC" w:rsidRDefault="00232C2B" w:rsidP="006F19C2">
            <w:pPr>
              <w:pStyle w:val="Paragrafoelenco1"/>
              <w:spacing w:after="0" w:line="240" w:lineRule="auto"/>
              <w:ind w:left="-8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36"/>
                <w:szCs w:val="36"/>
              </w:rPr>
            </w:pP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232C2B" w:rsidRPr="00DA68D3" w:rsidRDefault="00232C2B" w:rsidP="00DA68D3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8"/>
                <w:szCs w:val="28"/>
              </w:rPr>
            </w:pPr>
            <w:r w:rsidRPr="00DA68D3">
              <w:rPr>
                <w:b/>
                <w:caps/>
                <w:sz w:val="28"/>
                <w:szCs w:val="28"/>
              </w:rPr>
              <w:t>Misur</w:t>
            </w:r>
            <w:r w:rsidR="00DA68D3" w:rsidRPr="00DA68D3">
              <w:rPr>
                <w:b/>
                <w:caps/>
                <w:sz w:val="28"/>
                <w:szCs w:val="28"/>
              </w:rPr>
              <w:t>a</w:t>
            </w:r>
          </w:p>
        </w:tc>
        <w:tc>
          <w:tcPr>
            <w:tcW w:w="1843" w:type="dxa"/>
            <w:vAlign w:val="center"/>
          </w:tcPr>
          <w:p w:rsidR="00232C2B" w:rsidRPr="002A2ABC" w:rsidRDefault="00232C2B" w:rsidP="00744DEB">
            <w:pPr>
              <w:pStyle w:val="Paragrafoelenco1"/>
              <w:spacing w:after="0" w:line="240" w:lineRule="auto"/>
              <w:ind w:left="0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Struttura e soggetto responsabile dell’attuazione</w:t>
            </w:r>
          </w:p>
        </w:tc>
        <w:tc>
          <w:tcPr>
            <w:tcW w:w="2410" w:type="dxa"/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TEMPI DI ATTUAZIONE E VALORI ATTESI</w:t>
            </w:r>
          </w:p>
        </w:tc>
        <w:tc>
          <w:tcPr>
            <w:tcW w:w="3402" w:type="dxa"/>
            <w:vAlign w:val="center"/>
          </w:tcPr>
          <w:p w:rsidR="00232C2B" w:rsidRPr="002A2ABC" w:rsidRDefault="00232C2B" w:rsidP="00C33161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Indicatori di monitoraggio</w:t>
            </w:r>
          </w:p>
          <w:p w:rsidR="00232C2B" w:rsidRPr="002A2ABC" w:rsidRDefault="00232C2B" w:rsidP="004B3609">
            <w:pPr>
              <w:pStyle w:val="Paragrafoelenco1"/>
              <w:spacing w:after="0" w:line="240" w:lineRule="auto"/>
              <w:ind w:left="-8"/>
              <w:jc w:val="center"/>
              <w:rPr>
                <w:b/>
                <w:caps/>
                <w:sz w:val="20"/>
                <w:szCs w:val="20"/>
              </w:rPr>
            </w:pPr>
            <w:r w:rsidRPr="002A2ABC">
              <w:rPr>
                <w:b/>
                <w:caps/>
                <w:sz w:val="20"/>
                <w:szCs w:val="20"/>
              </w:rPr>
              <w:t>e RESPONSABILE DELLA RILEVAZIONE</w:t>
            </w:r>
          </w:p>
        </w:tc>
      </w:tr>
      <w:tr w:rsidR="006F19C2" w:rsidRPr="002A2ABC" w:rsidTr="006F7D53">
        <w:trPr>
          <w:trHeight w:val="16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C2" w:rsidRPr="004E4542" w:rsidRDefault="006F19C2" w:rsidP="00BD741C">
            <w:pPr>
              <w:pStyle w:val="Paragrafoelenco1"/>
              <w:spacing w:after="0" w:line="240" w:lineRule="auto"/>
              <w:ind w:left="-8"/>
              <w:rPr>
                <w:b/>
                <w:caps/>
                <w:sz w:val="16"/>
                <w:szCs w:val="16"/>
              </w:rPr>
            </w:pPr>
            <w:r w:rsidRPr="004E4542">
              <w:rPr>
                <w:b/>
                <w:caps/>
                <w:sz w:val="16"/>
                <w:szCs w:val="16"/>
              </w:rPr>
              <w:t xml:space="preserve">n. 46 </w:t>
            </w:r>
            <w:r w:rsidRPr="004E4542">
              <w:rPr>
                <w:b/>
                <w:sz w:val="16"/>
                <w:szCs w:val="16"/>
              </w:rPr>
              <w:t>tabella</w:t>
            </w:r>
            <w:r w:rsidRPr="004E4542">
              <w:rPr>
                <w:b/>
                <w:caps/>
                <w:sz w:val="16"/>
                <w:szCs w:val="16"/>
              </w:rPr>
              <w:t xml:space="preserve"> “</w:t>
            </w:r>
            <w:r>
              <w:rPr>
                <w:b/>
                <w:caps/>
                <w:sz w:val="16"/>
                <w:szCs w:val="16"/>
              </w:rPr>
              <w:t>A</w:t>
            </w:r>
            <w:r w:rsidRPr="004E4542">
              <w:rPr>
                <w:b/>
                <w:caps/>
                <w:sz w:val="16"/>
                <w:szCs w:val="16"/>
              </w:rPr>
              <w:t>”</w:t>
            </w:r>
            <w:r>
              <w:rPr>
                <w:b/>
                <w:sz w:val="16"/>
                <w:szCs w:val="16"/>
              </w:rPr>
              <w:t xml:space="preserve"> PTPCT 2017/2019</w:t>
            </w:r>
          </w:p>
          <w:p w:rsidR="006F19C2" w:rsidRDefault="006F19C2" w:rsidP="00BD741C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Minor introito degli oneri relativi alla plusvalenza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C2" w:rsidRDefault="006F19C2" w:rsidP="00BD741C">
            <w:pPr>
              <w:pStyle w:val="ListParagraph8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6F19C2" w:rsidRPr="008D547D" w:rsidRDefault="006F19C2" w:rsidP="00BD741C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8D547D">
              <w:rPr>
                <w:sz w:val="17"/>
                <w:szCs w:val="17"/>
              </w:rPr>
              <w:t xml:space="preserve">Completamento </w:t>
            </w:r>
            <w:r>
              <w:rPr>
                <w:sz w:val="17"/>
                <w:szCs w:val="17"/>
              </w:rPr>
              <w:t>corso di formazione on-</w:t>
            </w:r>
            <w:r w:rsidRPr="008D547D">
              <w:rPr>
                <w:sz w:val="17"/>
                <w:szCs w:val="17"/>
              </w:rPr>
              <w:t xml:space="preserve">line sull’utilizzo  dei criteri e metodi di stima immobiliare </w:t>
            </w:r>
          </w:p>
        </w:tc>
        <w:tc>
          <w:tcPr>
            <w:tcW w:w="1843" w:type="dxa"/>
            <w:tcMar>
              <w:bottom w:w="113" w:type="dxa"/>
            </w:tcMar>
            <w:vAlign w:val="center"/>
          </w:tcPr>
          <w:p w:rsidR="006F19C2" w:rsidRDefault="006F19C2" w:rsidP="00BD741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Urbanistica.</w:t>
            </w:r>
          </w:p>
          <w:p w:rsidR="006F19C2" w:rsidRPr="002A2ABC" w:rsidRDefault="006F19C2" w:rsidP="00BD741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 5° Settore</w:t>
            </w:r>
          </w:p>
        </w:tc>
        <w:tc>
          <w:tcPr>
            <w:tcW w:w="2410" w:type="dxa"/>
            <w:tcMar>
              <w:bottom w:w="113" w:type="dxa"/>
            </w:tcMar>
            <w:vAlign w:val="center"/>
          </w:tcPr>
          <w:p w:rsidR="006F19C2" w:rsidRPr="00DB5EE4" w:rsidRDefault="006F19C2" w:rsidP="00BD741C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 dall’adozione del PTPCT inoltro al RPCT di report sulla formazione svolta e sui suoi esiti</w:t>
            </w:r>
          </w:p>
        </w:tc>
        <w:tc>
          <w:tcPr>
            <w:tcW w:w="3402" w:type="dxa"/>
            <w:tcMar>
              <w:bottom w:w="113" w:type="dxa"/>
            </w:tcMar>
            <w:vAlign w:val="center"/>
          </w:tcPr>
          <w:p w:rsidR="006F19C2" w:rsidRPr="004B3609" w:rsidRDefault="006F19C2" w:rsidP="00BD741C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del referto di</w:t>
            </w:r>
            <w:r>
              <w:rPr>
                <w:sz w:val="17"/>
                <w:szCs w:val="17"/>
              </w:rPr>
              <w:t xml:space="preserve"> attuazione misura</w:t>
            </w:r>
          </w:p>
        </w:tc>
      </w:tr>
      <w:tr w:rsidR="006F19C2" w:rsidRPr="002A2ABC" w:rsidTr="006F7D53">
        <w:trPr>
          <w:trHeight w:val="16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C2" w:rsidRPr="004E4542" w:rsidRDefault="006F19C2" w:rsidP="00BD741C">
            <w:pPr>
              <w:pStyle w:val="Paragrafoelenco1"/>
              <w:spacing w:after="0" w:line="240" w:lineRule="auto"/>
              <w:ind w:left="-8"/>
              <w:rPr>
                <w:b/>
                <w:cap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47 tabella “A” PTPCT 2017/2019</w:t>
            </w:r>
          </w:p>
          <w:p w:rsidR="006F19C2" w:rsidRPr="004E4542" w:rsidRDefault="006F19C2" w:rsidP="00BD741C">
            <w:pPr>
              <w:pStyle w:val="Paragrafoelenco1"/>
              <w:spacing w:after="0" w:line="240" w:lineRule="auto"/>
              <w:ind w:left="0"/>
              <w:rPr>
                <w:b/>
                <w:cap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Eventuali rischi di sottostima del valore del bene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C2" w:rsidRDefault="006F19C2" w:rsidP="00BD741C">
            <w:pPr>
              <w:pStyle w:val="ListParagraph8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6F19C2" w:rsidRPr="008D547D" w:rsidRDefault="006F19C2" w:rsidP="00BD741C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8D547D">
              <w:rPr>
                <w:sz w:val="17"/>
                <w:szCs w:val="17"/>
              </w:rPr>
              <w:t xml:space="preserve">Completamento </w:t>
            </w:r>
            <w:r>
              <w:rPr>
                <w:sz w:val="17"/>
                <w:szCs w:val="17"/>
              </w:rPr>
              <w:t>corso di formazione on-</w:t>
            </w:r>
            <w:r w:rsidRPr="008D547D">
              <w:rPr>
                <w:sz w:val="17"/>
                <w:szCs w:val="17"/>
              </w:rPr>
              <w:t xml:space="preserve">line sull’utilizzo  dei criteri e metodi di stima immobiliare </w:t>
            </w:r>
          </w:p>
        </w:tc>
        <w:tc>
          <w:tcPr>
            <w:tcW w:w="1843" w:type="dxa"/>
            <w:tcMar>
              <w:bottom w:w="113" w:type="dxa"/>
            </w:tcMar>
            <w:vAlign w:val="center"/>
          </w:tcPr>
          <w:p w:rsidR="006F19C2" w:rsidRDefault="006F19C2" w:rsidP="00BD741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Urbanistica.</w:t>
            </w:r>
          </w:p>
          <w:p w:rsidR="006F19C2" w:rsidRPr="002A2ABC" w:rsidRDefault="006F19C2" w:rsidP="00BD741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 5° Settore</w:t>
            </w:r>
          </w:p>
        </w:tc>
        <w:tc>
          <w:tcPr>
            <w:tcW w:w="2410" w:type="dxa"/>
            <w:tcMar>
              <w:bottom w:w="113" w:type="dxa"/>
            </w:tcMar>
            <w:vAlign w:val="center"/>
          </w:tcPr>
          <w:p w:rsidR="006F19C2" w:rsidRPr="00DB5EE4" w:rsidRDefault="006F19C2" w:rsidP="00BD741C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 dall’adozione del PTPCT inoltro al RPCT di report sulla formazione svolta e sui suoi esiti</w:t>
            </w:r>
          </w:p>
        </w:tc>
        <w:tc>
          <w:tcPr>
            <w:tcW w:w="3402" w:type="dxa"/>
            <w:tcMar>
              <w:bottom w:w="113" w:type="dxa"/>
            </w:tcMar>
            <w:vAlign w:val="center"/>
          </w:tcPr>
          <w:p w:rsidR="006F19C2" w:rsidRPr="004B3609" w:rsidRDefault="006F19C2" w:rsidP="00BD741C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del referto di</w:t>
            </w:r>
            <w:r>
              <w:rPr>
                <w:sz w:val="17"/>
                <w:szCs w:val="17"/>
              </w:rPr>
              <w:t xml:space="preserve"> attuazione misura</w:t>
            </w:r>
          </w:p>
        </w:tc>
      </w:tr>
      <w:tr w:rsidR="00E64EF3" w:rsidRPr="002A2ABC" w:rsidTr="006F7D53">
        <w:trPr>
          <w:trHeight w:val="109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F3" w:rsidRDefault="00E64EF3" w:rsidP="00954F59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50 tabella “A”</w:t>
            </w:r>
            <w:r w:rsidR="00DB4450">
              <w:rPr>
                <w:b/>
                <w:sz w:val="16"/>
                <w:szCs w:val="16"/>
              </w:rPr>
              <w:t xml:space="preserve"> PTPCT 2017/2019</w:t>
            </w:r>
          </w:p>
          <w:p w:rsidR="00E64EF3" w:rsidRPr="00954F59" w:rsidRDefault="00E64EF3" w:rsidP="00954F59">
            <w:pPr>
              <w:ind w:firstLine="34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Irregolare annullamento di verbale/omesso o irregolare inserimento del verbale nel software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F3" w:rsidRDefault="00DA72FE" w:rsidP="004E4542">
            <w:pPr>
              <w:pStyle w:val="ListParagraph8"/>
              <w:jc w:val="center"/>
            </w:pPr>
            <w: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E64EF3" w:rsidRPr="00AC0A56" w:rsidRDefault="00AC0A56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AC0A56">
              <w:rPr>
                <w:sz w:val="17"/>
                <w:szCs w:val="17"/>
              </w:rPr>
              <w:t>Verifica e controllo delle richieste</w:t>
            </w:r>
            <w:r>
              <w:rPr>
                <w:sz w:val="17"/>
                <w:szCs w:val="17"/>
              </w:rPr>
              <w:t xml:space="preserve"> di annullamento dei verbali irregolari</w:t>
            </w:r>
          </w:p>
        </w:tc>
        <w:tc>
          <w:tcPr>
            <w:tcW w:w="1843" w:type="dxa"/>
            <w:tcMar>
              <w:bottom w:w="113" w:type="dxa"/>
            </w:tcMar>
            <w:vAlign w:val="center"/>
          </w:tcPr>
          <w:p w:rsidR="00E64EF3" w:rsidRPr="00B95574" w:rsidRDefault="00E64EF3" w:rsidP="00370E70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 w:rsidRPr="00B95574">
              <w:rPr>
                <w:caps/>
                <w:sz w:val="17"/>
                <w:szCs w:val="17"/>
              </w:rPr>
              <w:t xml:space="preserve">polizia municipale </w:t>
            </w:r>
            <w:r w:rsidRPr="00B95574">
              <w:rPr>
                <w:sz w:val="17"/>
                <w:szCs w:val="17"/>
              </w:rPr>
              <w:t>Resp. 6° settore</w:t>
            </w:r>
          </w:p>
        </w:tc>
        <w:tc>
          <w:tcPr>
            <w:tcW w:w="2410" w:type="dxa"/>
            <w:tcMar>
              <w:bottom w:w="113" w:type="dxa"/>
            </w:tcMar>
            <w:vAlign w:val="center"/>
          </w:tcPr>
          <w:p w:rsidR="00E64EF3" w:rsidRPr="00AC0A56" w:rsidRDefault="00AC0A56" w:rsidP="00AD460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AC0A56">
              <w:rPr>
                <w:sz w:val="16"/>
                <w:szCs w:val="16"/>
              </w:rPr>
              <w:t>Redazione semestrale del rapporto di verifica</w:t>
            </w:r>
            <w:r w:rsidR="00B95574">
              <w:rPr>
                <w:sz w:val="16"/>
                <w:szCs w:val="16"/>
              </w:rPr>
              <w:t xml:space="preserve"> e controllo con trasmissione dello stesso al RPCT</w:t>
            </w:r>
          </w:p>
        </w:tc>
        <w:tc>
          <w:tcPr>
            <w:tcW w:w="3402" w:type="dxa"/>
            <w:tcMar>
              <w:bottom w:w="113" w:type="dxa"/>
            </w:tcMar>
            <w:vAlign w:val="center"/>
          </w:tcPr>
          <w:p w:rsidR="00E64EF3" w:rsidRPr="004B3609" w:rsidRDefault="005B27FF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RPCT: </w:t>
            </w:r>
            <w:r w:rsidR="00AC0A56">
              <w:rPr>
                <w:sz w:val="17"/>
                <w:szCs w:val="17"/>
              </w:rPr>
              <w:t>Acquisizione rapporto per monitoraggio efficacia della misura</w:t>
            </w:r>
          </w:p>
        </w:tc>
      </w:tr>
      <w:tr w:rsidR="006F19C2" w:rsidRPr="002A2ABC" w:rsidTr="006F7D53">
        <w:trPr>
          <w:trHeight w:val="9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C2" w:rsidRDefault="006F19C2" w:rsidP="00954F59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62 tabella “A” PTPCT 2017/2019</w:t>
            </w:r>
          </w:p>
          <w:p w:rsidR="006F19C2" w:rsidRPr="00954F59" w:rsidRDefault="006F19C2" w:rsidP="00954F59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Determinazione della indennità di esproprio in misura maggiore rispetto al'importo dovuto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C2" w:rsidRDefault="006F19C2" w:rsidP="004E4542">
            <w:pPr>
              <w:pStyle w:val="ListParagraph8"/>
              <w:jc w:val="center"/>
            </w:pPr>
            <w:r>
              <w:t>4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6F19C2" w:rsidRPr="004B3609" w:rsidRDefault="006F19C2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8D547D">
              <w:rPr>
                <w:sz w:val="17"/>
                <w:szCs w:val="17"/>
              </w:rPr>
              <w:t xml:space="preserve">Completamento </w:t>
            </w:r>
            <w:r>
              <w:rPr>
                <w:sz w:val="17"/>
                <w:szCs w:val="17"/>
              </w:rPr>
              <w:t>corso di formazione on-</w:t>
            </w:r>
            <w:r w:rsidRPr="008D547D">
              <w:rPr>
                <w:sz w:val="17"/>
                <w:szCs w:val="17"/>
              </w:rPr>
              <w:t xml:space="preserve">line sull’utilizzo  dei criteri e metodi di stima immobiliare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F19C2" w:rsidRDefault="006F19C2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LL.PP.</w:t>
            </w:r>
          </w:p>
          <w:p w:rsidR="006F19C2" w:rsidRPr="002A2ABC" w:rsidRDefault="006F19C2" w:rsidP="00170FFC">
            <w:pPr>
              <w:pStyle w:val="Paragrafoelenco1"/>
              <w:spacing w:after="0" w:line="240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Resp. 4° Settore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6F19C2" w:rsidRPr="00DB5EE4" w:rsidRDefault="006F19C2" w:rsidP="00F247A3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 dall’adozione del PTPCT inoltro al RPCT di report sulla formazione svolta e sui suoi esiti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F19C2" w:rsidRPr="004B3609" w:rsidRDefault="006F19C2" w:rsidP="00C33161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4B3609">
              <w:rPr>
                <w:sz w:val="17"/>
                <w:szCs w:val="17"/>
              </w:rPr>
              <w:t>RPCT: acquisizione del referto di</w:t>
            </w:r>
            <w:r>
              <w:rPr>
                <w:sz w:val="17"/>
                <w:szCs w:val="17"/>
              </w:rPr>
              <w:t xml:space="preserve"> attuazione misura</w:t>
            </w:r>
          </w:p>
        </w:tc>
      </w:tr>
      <w:tr w:rsidR="000B1016" w:rsidRPr="002A2ABC" w:rsidTr="006F7D53">
        <w:trPr>
          <w:trHeight w:val="16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16" w:rsidRDefault="000B1016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N. 84 tabella “A” PTPCT 2017/2019</w:t>
            </w:r>
          </w:p>
          <w:p w:rsidR="000B1016" w:rsidRPr="00E923D0" w:rsidRDefault="000B1016" w:rsidP="00E923D0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Carenza di motivazione quanto a congruità della scelta dell’avvocato rispetto al bisogno di difesa da appagare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16" w:rsidRDefault="000B1016" w:rsidP="004E4542">
            <w:pPr>
              <w:pStyle w:val="ListParagraph8"/>
              <w:jc w:val="center"/>
            </w:pPr>
            <w:r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  <w:vAlign w:val="center"/>
          </w:tcPr>
          <w:p w:rsidR="000B1016" w:rsidRPr="002A2ABC" w:rsidRDefault="000B1016" w:rsidP="00DB5EE4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r w:rsidRPr="002A2ABC"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laborazione proposta di delibera consiliare e testo Regolamento disciplinante i criteri di scelta dell’avvocato a cui conferire il patrocinio legale dell’Ente</w:t>
            </w:r>
          </w:p>
        </w:tc>
        <w:tc>
          <w:tcPr>
            <w:tcW w:w="1843" w:type="dxa"/>
            <w:tcMar>
              <w:bottom w:w="113" w:type="dxa"/>
            </w:tcMar>
            <w:vAlign w:val="center"/>
          </w:tcPr>
          <w:p w:rsidR="000B1016" w:rsidRDefault="000B1016" w:rsidP="00170FFC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AFFARI GENERALI – SEGRETERIA</w:t>
            </w:r>
          </w:p>
          <w:p w:rsidR="000B1016" w:rsidRPr="002A2ABC" w:rsidRDefault="000B1016" w:rsidP="00170FFC">
            <w:pPr>
              <w:ind w:firstLine="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Resp.</w:t>
            </w:r>
            <w:r w:rsidRPr="002A2ABC">
              <w:rPr>
                <w:rFonts w:eastAsia="Times New Roman"/>
                <w:sz w:val="17"/>
                <w:szCs w:val="17"/>
              </w:rPr>
              <w:t xml:space="preserve"> 1° Settore</w:t>
            </w:r>
          </w:p>
        </w:tc>
        <w:tc>
          <w:tcPr>
            <w:tcW w:w="2410" w:type="dxa"/>
            <w:tcMar>
              <w:bottom w:w="113" w:type="dxa"/>
            </w:tcMar>
            <w:vAlign w:val="center"/>
          </w:tcPr>
          <w:p w:rsidR="000B1016" w:rsidRPr="00DB5EE4" w:rsidRDefault="000B1016" w:rsidP="00F247A3">
            <w:pPr>
              <w:pStyle w:val="Paragrafoelenco2"/>
              <w:spacing w:after="0" w:line="240" w:lineRule="auto"/>
              <w:ind w:left="-8"/>
              <w:rPr>
                <w:sz w:val="16"/>
                <w:szCs w:val="16"/>
              </w:rPr>
            </w:pPr>
            <w:r w:rsidRPr="00DB5EE4">
              <w:rPr>
                <w:sz w:val="16"/>
                <w:szCs w:val="16"/>
              </w:rPr>
              <w:t>Entro</w:t>
            </w:r>
            <w:r>
              <w:rPr>
                <w:sz w:val="16"/>
                <w:szCs w:val="16"/>
              </w:rPr>
              <w:t xml:space="preserve">  90 giorni dall’entrata in vigore delle Linee-guida ANAC in materia di servizi legali formalizzazione propo</w:t>
            </w:r>
            <w:r w:rsidRPr="00DB5EE4">
              <w:rPr>
                <w:sz w:val="16"/>
                <w:szCs w:val="16"/>
              </w:rPr>
              <w:t>sta di deliberazione di Consiglio, mediante inserimento nel sistema informatico</w:t>
            </w:r>
          </w:p>
        </w:tc>
        <w:tc>
          <w:tcPr>
            <w:tcW w:w="3402" w:type="dxa"/>
            <w:tcMar>
              <w:bottom w:w="113" w:type="dxa"/>
            </w:tcMar>
            <w:vAlign w:val="center"/>
          </w:tcPr>
          <w:p w:rsidR="000B1016" w:rsidRPr="002A2ABC" w:rsidRDefault="000B1016" w:rsidP="00571A73">
            <w:pPr>
              <w:pStyle w:val="Paragrafoelenco2"/>
              <w:spacing w:after="0" w:line="240" w:lineRule="auto"/>
              <w:ind w:left="-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RPCT: a</w:t>
            </w:r>
            <w:r w:rsidRPr="002A2ABC">
              <w:rPr>
                <w:sz w:val="17"/>
                <w:szCs w:val="17"/>
              </w:rPr>
              <w:t xml:space="preserve">ttuazione </w:t>
            </w:r>
            <w:r>
              <w:rPr>
                <w:sz w:val="17"/>
                <w:szCs w:val="17"/>
              </w:rPr>
              <w:t xml:space="preserve">misura </w:t>
            </w:r>
            <w:r w:rsidRPr="002A2ABC">
              <w:rPr>
                <w:sz w:val="17"/>
                <w:szCs w:val="17"/>
              </w:rPr>
              <w:t>verificabile dalla consultazione del sistema informatico delle proposte di deliberazione</w:t>
            </w:r>
          </w:p>
        </w:tc>
      </w:tr>
      <w:tr w:rsidR="000B1016" w:rsidRPr="002A2ABC" w:rsidTr="006F7D53">
        <w:trPr>
          <w:trHeight w:val="493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16" w:rsidRDefault="000B1016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Fase n. 1 tabella “C” PTPCT 2017/2019</w:t>
            </w:r>
          </w:p>
          <w:p w:rsidR="000B1016" w:rsidRDefault="000B1016" w:rsidP="00F96B2D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F96B2D">
              <w:rPr>
                <w:color w:val="000000"/>
                <w:sz w:val="18"/>
                <w:szCs w:val="18"/>
              </w:rPr>
              <w:t>Non tempestiva programmazione per acquisto di beni e servizi i cui contratti sono in scadenza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16" w:rsidRDefault="00DA72FE" w:rsidP="004E4542">
            <w:pPr>
              <w:pStyle w:val="ListParagraph8"/>
              <w:jc w:val="center"/>
            </w:pPr>
            <w:r>
              <w:t>6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tcMar>
              <w:bottom w:w="113" w:type="dxa"/>
            </w:tcMar>
          </w:tcPr>
          <w:p w:rsidR="000B1016" w:rsidRPr="00AD4603" w:rsidRDefault="000B1016" w:rsidP="000266B5">
            <w:pPr>
              <w:pStyle w:val="Paragrafoelenco"/>
              <w:ind w:left="0" w:firstLine="0"/>
              <w:rPr>
                <w:sz w:val="17"/>
                <w:szCs w:val="17"/>
              </w:rPr>
            </w:pPr>
            <w:r w:rsidRPr="00AD4603">
              <w:rPr>
                <w:sz w:val="17"/>
                <w:szCs w:val="17"/>
              </w:rPr>
              <w:t xml:space="preserve">a) Trasmissione al servizio gare e contratti o al competente </w:t>
            </w:r>
            <w:r>
              <w:rPr>
                <w:sz w:val="17"/>
                <w:szCs w:val="17"/>
              </w:rPr>
              <w:t>ufficio</w:t>
            </w:r>
            <w:r w:rsidRPr="00AD4603">
              <w:rPr>
                <w:sz w:val="17"/>
                <w:szCs w:val="17"/>
              </w:rPr>
              <w:t xml:space="preserve"> della C.U.C., con formale protocollazione, di tutta la documentazione necessaria all’indizione della gara (capitolato speciale d’appalto e criteri di aggiudicazione e valutazione delle offerte, schema di contratto, Duvri, etc.) per consentire il nuovo affidamento della fornitura o del servizio</w:t>
            </w:r>
          </w:p>
        </w:tc>
        <w:tc>
          <w:tcPr>
            <w:tcW w:w="1843" w:type="dxa"/>
            <w:tcMar>
              <w:bottom w:w="113" w:type="dxa"/>
            </w:tcMar>
          </w:tcPr>
          <w:p w:rsidR="000B1016" w:rsidRDefault="000B1016" w:rsidP="00AD4603">
            <w:pPr>
              <w:ind w:firstLine="0"/>
              <w:jc w:val="lef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TUTTI I RESPONSABILI DI SETTORE</w:t>
            </w:r>
          </w:p>
        </w:tc>
        <w:tc>
          <w:tcPr>
            <w:tcW w:w="2410" w:type="dxa"/>
            <w:tcMar>
              <w:bottom w:w="113" w:type="dxa"/>
            </w:tcMar>
          </w:tcPr>
          <w:p w:rsidR="000B1016" w:rsidRPr="00AD4603" w:rsidRDefault="000B1016" w:rsidP="0056148F">
            <w:pPr>
              <w:pStyle w:val="Paragrafoelenco1"/>
              <w:spacing w:after="0" w:line="240" w:lineRule="auto"/>
              <w:ind w:left="0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a) Attuazione misura nei seguenti termini antecedenti la scadenza del contratto:</w:t>
            </w:r>
          </w:p>
          <w:p w:rsidR="000B1016" w:rsidRPr="00AD4603" w:rsidRDefault="000B1016" w:rsidP="00D24DE5">
            <w:pPr>
              <w:pStyle w:val="Paragrafoelenco"/>
              <w:ind w:left="0" w:firstLine="0"/>
              <w:jc w:val="left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- giorni 120 per procedura di gara aperte o procedura negoziata con indagine di mercato di importo inferiore alla soglia comunitaria, con metodo di aggiudicazione del prezzo più basso;</w:t>
            </w:r>
          </w:p>
          <w:p w:rsidR="000B1016" w:rsidRPr="00AD4603" w:rsidRDefault="000B1016" w:rsidP="00D24DE5">
            <w:pPr>
              <w:pStyle w:val="Paragrafoelenco"/>
              <w:ind w:left="34" w:firstLine="0"/>
              <w:jc w:val="left"/>
              <w:rPr>
                <w:sz w:val="16"/>
                <w:szCs w:val="16"/>
              </w:rPr>
            </w:pPr>
            <w:r w:rsidRPr="00AD4603">
              <w:rPr>
                <w:sz w:val="16"/>
                <w:szCs w:val="16"/>
              </w:rPr>
              <w:t>- giorni 150 per procedure di gara aperta o procedura negoziata con indagine di mercato di importo inferiore alla soglia comunitaria, con metodo di aggiudicazione dell’offerta economicamente più vantaggiosa;</w:t>
            </w:r>
          </w:p>
          <w:p w:rsidR="000B1016" w:rsidRPr="00575C5F" w:rsidRDefault="000B1016" w:rsidP="00575C5F">
            <w:pPr>
              <w:pStyle w:val="Paragrafoelenco"/>
              <w:ind w:left="34" w:firstLine="0"/>
              <w:jc w:val="left"/>
              <w:rPr>
                <w:sz w:val="17"/>
                <w:szCs w:val="17"/>
              </w:rPr>
            </w:pPr>
            <w:r w:rsidRPr="00AD4603">
              <w:rPr>
                <w:sz w:val="16"/>
                <w:szCs w:val="16"/>
              </w:rPr>
              <w:t>- giorni 190 per procedura di gara aperta di importo superiore alla soglia comunitaria, con metodo di aggiudicazione dell’offerta economicamente più vantaggiosa.</w:t>
            </w:r>
          </w:p>
        </w:tc>
        <w:tc>
          <w:tcPr>
            <w:tcW w:w="3402" w:type="dxa"/>
            <w:tcMar>
              <w:bottom w:w="113" w:type="dxa"/>
            </w:tcMar>
          </w:tcPr>
          <w:p w:rsidR="000B1016" w:rsidRDefault="000B1016" w:rsidP="00AD4603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RCPT: attuazione misura verificabile dalla consultazione del protocollo informatico</w:t>
            </w:r>
          </w:p>
        </w:tc>
      </w:tr>
      <w:tr w:rsidR="000B1016" w:rsidRPr="002A2ABC" w:rsidTr="006F7D53">
        <w:trPr>
          <w:trHeight w:val="186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16" w:rsidRDefault="000B1016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16" w:rsidRDefault="000B1016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tcMar>
              <w:bottom w:w="113" w:type="dxa"/>
            </w:tcMar>
          </w:tcPr>
          <w:p w:rsidR="000B1016" w:rsidRPr="00AD4603" w:rsidRDefault="000B1016" w:rsidP="00AD4603">
            <w:pPr>
              <w:pStyle w:val="Paragrafoelenco"/>
              <w:ind w:left="0" w:firstLine="0"/>
              <w:rPr>
                <w:sz w:val="17"/>
                <w:szCs w:val="17"/>
              </w:rPr>
            </w:pPr>
            <w:r w:rsidRPr="00AD4603">
              <w:rPr>
                <w:sz w:val="17"/>
                <w:szCs w:val="17"/>
              </w:rPr>
              <w:t xml:space="preserve">b) Per le procedure di competenza del Comune: predisposizione del bando di gara o dell’avviso esplorativo in caso di procedura negoziata e sua trasmissione, con formale protocollazione, al competente responsabile del settore per l’adozione della determina a contrattare, l’assunzione dell’impegno di spesa e la pubblicazione del bando/avviso esplorativo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0B1016" w:rsidRDefault="000B1016" w:rsidP="000266B5">
            <w:pPr>
              <w:ind w:firstLine="0"/>
              <w:jc w:val="left"/>
              <w:rPr>
                <w:rFonts w:eastAsia="Times New Roman"/>
                <w:sz w:val="17"/>
                <w:szCs w:val="17"/>
              </w:rPr>
            </w:pPr>
            <w:r w:rsidRPr="00B95574">
              <w:rPr>
                <w:rFonts w:eastAsia="Times New Roman"/>
                <w:caps/>
                <w:sz w:val="17"/>
                <w:szCs w:val="17"/>
              </w:rPr>
              <w:t>Servizio Gare e Contratti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0B1016" w:rsidRPr="00575C5F" w:rsidRDefault="000B1016" w:rsidP="000266B5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 w:rsidRPr="006D6E47">
              <w:rPr>
                <w:sz w:val="16"/>
                <w:szCs w:val="16"/>
              </w:rPr>
              <w:t xml:space="preserve">b) entro 15 giorni dalla </w:t>
            </w:r>
            <w:r w:rsidRPr="00D24DE5">
              <w:rPr>
                <w:sz w:val="16"/>
                <w:szCs w:val="16"/>
              </w:rPr>
              <w:t xml:space="preserve">formale acquisizione di tutta la documentazione di cui alla lettera a) </w:t>
            </w:r>
            <w:r>
              <w:rPr>
                <w:sz w:val="16"/>
                <w:szCs w:val="16"/>
              </w:rPr>
              <w:t xml:space="preserve">della misura </w:t>
            </w:r>
            <w:r w:rsidRPr="00D24DE5">
              <w:rPr>
                <w:sz w:val="16"/>
                <w:szCs w:val="16"/>
              </w:rPr>
              <w:t>trasmissione con formale protocollazione del bando di gara/avviso esplorativo</w:t>
            </w:r>
            <w:r>
              <w:rPr>
                <w:sz w:val="16"/>
                <w:szCs w:val="16"/>
              </w:rPr>
              <w:t xml:space="preserve"> al competente responsabile di settore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0B1016" w:rsidRDefault="000B1016" w:rsidP="00D24DE5">
            <w:pPr>
              <w:pStyle w:val="Paragrafoelenco1"/>
              <w:spacing w:after="0" w:line="240" w:lineRule="auto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RCPT: attuazione verificabile dalla consultazione del protocollo informatico</w:t>
            </w:r>
          </w:p>
        </w:tc>
      </w:tr>
      <w:tr w:rsidR="000B1016" w:rsidRPr="002A2ABC" w:rsidTr="006F7D53">
        <w:trPr>
          <w:trHeight w:val="125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16" w:rsidRDefault="000B1016" w:rsidP="00E923D0">
            <w:pPr>
              <w:pStyle w:val="Paragrafoelenco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16" w:rsidRDefault="000B1016" w:rsidP="004E4542">
            <w:pPr>
              <w:pStyle w:val="ListParagraph8"/>
              <w:jc w:val="center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tcMar>
              <w:bottom w:w="113" w:type="dxa"/>
            </w:tcMar>
          </w:tcPr>
          <w:p w:rsidR="000B1016" w:rsidRPr="00D24DE5" w:rsidRDefault="000B1016" w:rsidP="000266B5">
            <w:pPr>
              <w:pStyle w:val="Paragrafoelenco"/>
              <w:ind w:left="34" w:firstLine="0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c) </w:t>
            </w:r>
            <w:r w:rsidRPr="00AD4603">
              <w:rPr>
                <w:sz w:val="17"/>
                <w:szCs w:val="17"/>
              </w:rPr>
              <w:t xml:space="preserve">Per le procedure di competenza del Comune: </w:t>
            </w:r>
            <w:r>
              <w:rPr>
                <w:sz w:val="17"/>
                <w:szCs w:val="17"/>
              </w:rPr>
              <w:t>pubblicazione del bando o avviso esplorativo nel caso di procedura negoziata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0B1016" w:rsidRPr="00621233" w:rsidRDefault="000B1016" w:rsidP="00AD4603"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621233">
              <w:rPr>
                <w:rFonts w:eastAsia="Times New Roman"/>
                <w:sz w:val="18"/>
                <w:szCs w:val="18"/>
              </w:rPr>
              <w:t>TUTTI I RESPONSABILI DI SETTORE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bottom w:w="113" w:type="dxa"/>
            </w:tcMar>
          </w:tcPr>
          <w:p w:rsidR="000B1016" w:rsidRPr="00621233" w:rsidRDefault="000B1016" w:rsidP="00AD4603">
            <w:pPr>
              <w:pStyle w:val="Paragrafoelenco"/>
              <w:ind w:left="34" w:firstLine="0"/>
              <w:jc w:val="left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Entro 7 giorni dalla formale acquisizione della documentazione di cui alla precedente lett. b) pubblicazione del bando/avviso esplorativo</w:t>
            </w:r>
          </w:p>
        </w:tc>
        <w:tc>
          <w:tcPr>
            <w:tcW w:w="3402" w:type="dxa"/>
            <w:tcMar>
              <w:bottom w:w="113" w:type="dxa"/>
            </w:tcMar>
          </w:tcPr>
          <w:p w:rsidR="000B1016" w:rsidRPr="00621233" w:rsidRDefault="000B1016" w:rsidP="00AD4603">
            <w:pPr>
              <w:pStyle w:val="Paragrafoelenco1"/>
              <w:spacing w:after="0" w:line="240" w:lineRule="auto"/>
              <w:ind w:left="0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RCPT: verifica pubblicazione bando attraverso la consultazione della sottosezione “Bandi di gara e contratti” della sezione “Amministrazione Trasparente” presente sul sito istituzionale</w:t>
            </w:r>
          </w:p>
        </w:tc>
      </w:tr>
    </w:tbl>
    <w:p w:rsidR="004E4542" w:rsidRDefault="004E4542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10"/>
        <w:gridCol w:w="4253"/>
        <w:gridCol w:w="1841"/>
        <w:gridCol w:w="2410"/>
        <w:gridCol w:w="3402"/>
      </w:tblGrid>
      <w:tr w:rsidR="00D66336" w:rsidTr="006F7D53">
        <w:trPr>
          <w:trHeight w:val="1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36" w:rsidRDefault="00F17F78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n. 1</w:t>
            </w:r>
            <w:r w:rsidR="00B9408B">
              <w:rPr>
                <w:rFonts w:asciiTheme="minorHAnsi" w:hAnsiTheme="minorHAnsi"/>
                <w:b/>
                <w:sz w:val="18"/>
                <w:szCs w:val="18"/>
              </w:rPr>
              <w:t xml:space="preserve"> tabella Allegato</w:t>
            </w:r>
            <w:r w:rsidR="00D66336">
              <w:rPr>
                <w:rFonts w:asciiTheme="minorHAnsi" w:hAnsiTheme="minorHAnsi"/>
                <w:b/>
                <w:sz w:val="18"/>
                <w:szCs w:val="18"/>
              </w:rPr>
              <w:t xml:space="preserve"> “2”</w:t>
            </w:r>
          </w:p>
          <w:p w:rsidR="00D66336" w:rsidRDefault="00D66336">
            <w:pPr>
              <w:spacing w:line="276" w:lineRule="auto"/>
              <w:ind w:firstLine="0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it-IT"/>
              </w:rPr>
              <w:t>Favorire, in assenza di finalità di interesse pubblico, soggetti predeterminati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66336" w:rsidRDefault="00D66336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66336" w:rsidRDefault="00D66336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66336" w:rsidRDefault="00D66336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  <w:p w:rsidR="00D66336" w:rsidRDefault="00D66336">
            <w:pPr>
              <w:spacing w:line="276" w:lineRule="auto"/>
              <w:ind w:firstLine="0"/>
              <w:jc w:val="left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6" w:rsidRDefault="00B9408B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>
              <w:rPr>
                <w:caps/>
                <w:sz w:val="17"/>
                <w:szCs w:val="17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6" w:rsidRDefault="00D66336">
            <w:pPr>
              <w:pStyle w:val="Paragrafoelenco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Attenta verifica del rispetto degli obblighi di pubblicazione di cui alla normativa regionale da parte del responsabile del procedimento.</w:t>
            </w:r>
          </w:p>
          <w:p w:rsidR="00D66336" w:rsidRDefault="00D66336">
            <w:pPr>
              <w:pStyle w:val="Paragrafoelenco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aggiunta a tali obblighi, nel caso di variante generale/revisione degli strumenti urbanistici, verrà data ampia diffusione degli obiettivi del piano urbanistico e degli obiettivi di sviluppo territoriale (indicati dall’Amministrazione Comunale) che con essa si intendono perseguire, prevedendo forme di partecipazione dei cittadini (a titolo esemplificativo pubblicazione sui social e sul sito istituzionale dell’Ente…)</w:t>
            </w:r>
            <w:r w:rsidR="0096575E">
              <w:rPr>
                <w:sz w:val="18"/>
                <w:szCs w:val="18"/>
              </w:rPr>
              <w:t>.</w:t>
            </w:r>
          </w:p>
          <w:p w:rsidR="00D66336" w:rsidRDefault="00D66336">
            <w:pPr>
              <w:pStyle w:val="Paragrafoelenco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</w:p>
          <w:p w:rsidR="00D66336" w:rsidRDefault="00D66336">
            <w:pPr>
              <w:pStyle w:val="Paragrafoelenco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</w:p>
          <w:p w:rsidR="00D66336" w:rsidRDefault="00D66336">
            <w:pPr>
              <w:pStyle w:val="Paragrafoelenco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Motivazione puntuale e dettagliata delle decisioni sia di accoglimento che di rigetto delle osservazioni al piano adottato.</w:t>
            </w:r>
          </w:p>
          <w:p w:rsidR="00D66336" w:rsidRDefault="00D66336">
            <w:pPr>
              <w:pStyle w:val="Paragrafoelenco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rPr>
                <w:caps/>
                <w:sz w:val="18"/>
                <w:szCs w:val="18"/>
              </w:rPr>
            </w:pPr>
            <w:r w:rsidRPr="00621233">
              <w:rPr>
                <w:caps/>
                <w:sz w:val="18"/>
                <w:szCs w:val="18"/>
              </w:rPr>
              <w:t>Urbanistica</w:t>
            </w:r>
          </w:p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Resp. 5° Settore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Entro 30 giorni dall’approvazione definitiva dello strumento urbanistico, inoltro al RPCT  di report circa l’attuazione della misura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621233" w:rsidP="00621233">
            <w:pPr>
              <w:pStyle w:val="Paragrafoelenco1"/>
              <w:spacing w:after="0" w:line="240" w:lineRule="auto"/>
              <w:ind w:left="-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RPCT: </w:t>
            </w:r>
            <w:r w:rsidR="00D66336" w:rsidRPr="00621233">
              <w:rPr>
                <w:sz w:val="18"/>
                <w:szCs w:val="18"/>
              </w:rPr>
              <w:t>Acquisizione report al fine di monitorare la corretta attuazione della misura</w:t>
            </w:r>
          </w:p>
        </w:tc>
      </w:tr>
      <w:tr w:rsidR="00D66336" w:rsidTr="006F7D53">
        <w:trPr>
          <w:trHeight w:val="162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6" w:rsidRDefault="00F17F78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n. 7</w:t>
            </w:r>
            <w:r w:rsidR="003F7179">
              <w:rPr>
                <w:rFonts w:asciiTheme="minorHAnsi" w:hAnsiTheme="minorHAnsi"/>
                <w:b/>
                <w:sz w:val="18"/>
                <w:szCs w:val="18"/>
              </w:rPr>
              <w:t xml:space="preserve"> tabella Allegato “2”</w:t>
            </w:r>
          </w:p>
          <w:p w:rsidR="00D66336" w:rsidRDefault="00D66336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Rischio della infruttuosa riscossione della polizza assicurativa a garanzia del debito degli oneri</w:t>
            </w:r>
          </w:p>
          <w:p w:rsidR="00D66336" w:rsidRDefault="00D66336">
            <w:pPr>
              <w:spacing w:line="276" w:lineRule="auto"/>
              <w:ind w:firstLine="34"/>
              <w:jc w:val="left"/>
              <w:rPr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6" w:rsidRDefault="00B9408B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7"/>
                <w:szCs w:val="17"/>
              </w:rPr>
            </w:pPr>
            <w:r>
              <w:rPr>
                <w:caps/>
                <w:sz w:val="17"/>
                <w:szCs w:val="17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6" w:rsidRDefault="00D66336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a) Verifica preventiva della solvibilità della compagnia bancaria o assicurativa che rilascia la polizza fideiussoria e della sua abilitazione al rilascio di garanzie per la P.A.</w:t>
            </w:r>
          </w:p>
          <w:p w:rsidR="00D66336" w:rsidRDefault="00D66336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sz w:val="18"/>
                <w:szCs w:val="18"/>
              </w:rPr>
            </w:pPr>
          </w:p>
          <w:p w:rsidR="00D66336" w:rsidRDefault="00D66336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Verifica preventiva delle clausole di polizza con particolare riferimento a: </w:t>
            </w:r>
          </w:p>
          <w:p w:rsidR="00D66336" w:rsidRDefault="00D66336" w:rsidP="00D12CFC">
            <w:pPr>
              <w:pStyle w:val="Corpodeltesto"/>
              <w:numPr>
                <w:ilvl w:val="0"/>
                <w:numId w:val="8"/>
              </w:numPr>
              <w:tabs>
                <w:tab w:val="clear" w:pos="836"/>
                <w:tab w:val="num" w:pos="174"/>
              </w:tabs>
              <w:ind w:left="176" w:hanging="14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pagamento a semplice prima richiesta dell’ente e senza eccezioni, ivi comprese quelle di cui all’art. 1945 c.c.</w:t>
            </w:r>
          </w:p>
          <w:p w:rsidR="00D66336" w:rsidRDefault="00D66336" w:rsidP="00D12CFC">
            <w:pPr>
              <w:pStyle w:val="Corpodeltesto"/>
              <w:numPr>
                <w:ilvl w:val="0"/>
                <w:numId w:val="8"/>
              </w:numPr>
              <w:tabs>
                <w:tab w:val="clear" w:pos="836"/>
                <w:tab w:val="num" w:pos="174"/>
              </w:tabs>
              <w:ind w:left="176" w:hanging="14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rinunzia al beneficio della preventiva escussione del debitore principale;</w:t>
            </w:r>
          </w:p>
          <w:p w:rsidR="00D66336" w:rsidRDefault="00D66336" w:rsidP="00D12CFC">
            <w:pPr>
              <w:pStyle w:val="Corpodeltesto"/>
              <w:numPr>
                <w:ilvl w:val="0"/>
                <w:numId w:val="8"/>
              </w:numPr>
              <w:tabs>
                <w:tab w:val="clear" w:pos="836"/>
                <w:tab w:val="num" w:pos="174"/>
              </w:tabs>
              <w:ind w:left="176" w:hanging="14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l'operatività della garanzia a semplice richiesta scritta del Comune di Chiaravalle;</w:t>
            </w:r>
          </w:p>
          <w:p w:rsidR="00D66336" w:rsidRDefault="00D66336" w:rsidP="00D12CFC">
            <w:pPr>
              <w:pStyle w:val="Corpodeltesto"/>
              <w:numPr>
                <w:ilvl w:val="0"/>
                <w:numId w:val="8"/>
              </w:numPr>
              <w:tabs>
                <w:tab w:val="clear" w:pos="836"/>
                <w:tab w:val="num" w:pos="174"/>
              </w:tabs>
              <w:ind w:left="176" w:hanging="142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validità ed efficacia fino allo svincolo da parte dell’Amministrazione Comunale.</w:t>
            </w:r>
          </w:p>
          <w:p w:rsidR="00D66336" w:rsidRDefault="00D66336">
            <w:pPr>
              <w:pStyle w:val="Paragrafoelenco1"/>
              <w:spacing w:after="0" w:line="240" w:lineRule="auto"/>
              <w:ind w:left="-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jc w:val="center"/>
              <w:rPr>
                <w:caps/>
                <w:sz w:val="18"/>
                <w:szCs w:val="18"/>
              </w:rPr>
            </w:pPr>
            <w:r w:rsidRPr="00621233">
              <w:rPr>
                <w:caps/>
                <w:sz w:val="18"/>
                <w:szCs w:val="18"/>
              </w:rPr>
              <w:t>Urbanistica</w:t>
            </w:r>
          </w:p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jc w:val="center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Resp. 5° Settore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D66336" w:rsidP="00621233">
            <w:pPr>
              <w:pStyle w:val="Paragrafoelenco1"/>
              <w:spacing w:after="0" w:line="240" w:lineRule="auto"/>
              <w:ind w:left="-8"/>
              <w:rPr>
                <w:sz w:val="18"/>
                <w:szCs w:val="18"/>
              </w:rPr>
            </w:pPr>
            <w:r w:rsidRPr="00621233">
              <w:rPr>
                <w:sz w:val="18"/>
                <w:szCs w:val="18"/>
              </w:rPr>
              <w:t>Entro 30 giorni dalla consegna della polizza  all’Ufficio, inoltro al RPCT  di report circa l’attuazione della misura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36" w:rsidRPr="00621233" w:rsidRDefault="00621233" w:rsidP="00621233">
            <w:pPr>
              <w:pStyle w:val="Paragrafoelenco1"/>
              <w:spacing w:after="0" w:line="240" w:lineRule="auto"/>
              <w:ind w:left="-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RPCT: </w:t>
            </w:r>
            <w:r w:rsidR="00D66336" w:rsidRPr="00621233">
              <w:rPr>
                <w:sz w:val="18"/>
                <w:szCs w:val="18"/>
              </w:rPr>
              <w:t>Acquisizione report al fine di monitorare la corretta attuazione della misura</w:t>
            </w:r>
          </w:p>
        </w:tc>
      </w:tr>
    </w:tbl>
    <w:p w:rsidR="00D66336" w:rsidRDefault="00D66336" w:rsidP="00D66336"/>
    <w:p w:rsidR="00CE2589" w:rsidRDefault="00CE2589"/>
    <w:sectPr w:rsidR="00CE2589" w:rsidSect="00B50FE8">
      <w:pgSz w:w="16839" w:h="11907" w:orient="landscape" w:code="9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50E"/>
    <w:multiLevelType w:val="hybridMultilevel"/>
    <w:tmpl w:val="E828D9DC"/>
    <w:lvl w:ilvl="0" w:tplc="4F027D2E">
      <w:start w:val="1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5A7068"/>
    <w:multiLevelType w:val="hybridMultilevel"/>
    <w:tmpl w:val="ACD02FCE"/>
    <w:lvl w:ilvl="0" w:tplc="22E2A926">
      <w:start w:val="2"/>
      <w:numFmt w:val="bullet"/>
      <w:lvlText w:val="-"/>
      <w:lvlJc w:val="left"/>
      <w:pPr>
        <w:ind w:left="35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340979"/>
    <w:multiLevelType w:val="hybridMultilevel"/>
    <w:tmpl w:val="50BE11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44C87"/>
    <w:multiLevelType w:val="hybridMultilevel"/>
    <w:tmpl w:val="313C28FC"/>
    <w:lvl w:ilvl="0" w:tplc="76F29ADA">
      <w:start w:val="1"/>
      <w:numFmt w:val="bullet"/>
      <w:lvlText w:val="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 w:tplc="BC7A081A">
      <w:start w:val="1"/>
      <w:numFmt w:val="bullet"/>
      <w:lvlText w:val="-"/>
      <w:lvlJc w:val="left"/>
      <w:pPr>
        <w:ind w:left="0" w:hanging="139"/>
      </w:pPr>
      <w:rPr>
        <w:rFonts w:ascii="Times New Roman" w:eastAsia="Times New Roman" w:hAnsi="Times New Roman" w:cs="Times New Roman" w:hint="default"/>
        <w:color w:val="1F1D24"/>
        <w:w w:val="105"/>
        <w:sz w:val="23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E124C"/>
    <w:multiLevelType w:val="hybridMultilevel"/>
    <w:tmpl w:val="37BA5520"/>
    <w:lvl w:ilvl="0" w:tplc="BC7A081A">
      <w:start w:val="1"/>
      <w:numFmt w:val="bullet"/>
      <w:lvlText w:val="-"/>
      <w:lvlJc w:val="left"/>
      <w:pPr>
        <w:tabs>
          <w:tab w:val="num" w:pos="836"/>
        </w:tabs>
        <w:ind w:left="836" w:hanging="360"/>
      </w:pPr>
      <w:rPr>
        <w:rFonts w:ascii="Times New Roman" w:eastAsia="Times New Roman" w:hAnsi="Times New Roman" w:cs="Times New Roman" w:hint="default"/>
        <w:color w:val="1F1D24"/>
        <w:w w:val="105"/>
        <w:sz w:val="23"/>
      </w:rPr>
    </w:lvl>
    <w:lvl w:ilvl="1" w:tplc="BC7A081A">
      <w:start w:val="1"/>
      <w:numFmt w:val="bullet"/>
      <w:lvlText w:val="-"/>
      <w:lvlJc w:val="left"/>
      <w:pPr>
        <w:ind w:left="0" w:hanging="139"/>
      </w:pPr>
      <w:rPr>
        <w:rFonts w:ascii="Times New Roman" w:eastAsia="Times New Roman" w:hAnsi="Times New Roman" w:cs="Times New Roman" w:hint="default"/>
        <w:color w:val="1F1D24"/>
        <w:w w:val="105"/>
        <w:sz w:val="23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77590"/>
    <w:multiLevelType w:val="hybridMultilevel"/>
    <w:tmpl w:val="09429ACE"/>
    <w:lvl w:ilvl="0" w:tplc="EED2AFD4">
      <w:start w:val="1"/>
      <w:numFmt w:val="lowerLetter"/>
      <w:lvlText w:val="%1)"/>
      <w:lvlJc w:val="left"/>
      <w:pPr>
        <w:ind w:left="660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7AB2025"/>
    <w:multiLevelType w:val="hybridMultilevel"/>
    <w:tmpl w:val="F9389DD6"/>
    <w:lvl w:ilvl="0" w:tplc="DE8AF29C">
      <w:start w:val="1"/>
      <w:numFmt w:val="bullet"/>
      <w:lvlText w:val="-"/>
      <w:lvlJc w:val="left"/>
      <w:pPr>
        <w:ind w:left="10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compat/>
  <w:rsids>
    <w:rsidRoot w:val="00232C2B"/>
    <w:rsid w:val="000266B5"/>
    <w:rsid w:val="0003658F"/>
    <w:rsid w:val="00047C4F"/>
    <w:rsid w:val="0005164A"/>
    <w:rsid w:val="000625B7"/>
    <w:rsid w:val="000A38AA"/>
    <w:rsid w:val="000B1016"/>
    <w:rsid w:val="000C5D48"/>
    <w:rsid w:val="000C6D46"/>
    <w:rsid w:val="000D073E"/>
    <w:rsid w:val="000F45C2"/>
    <w:rsid w:val="00103F43"/>
    <w:rsid w:val="00124E18"/>
    <w:rsid w:val="00160180"/>
    <w:rsid w:val="00170FFC"/>
    <w:rsid w:val="002069E5"/>
    <w:rsid w:val="00211D70"/>
    <w:rsid w:val="00232C2B"/>
    <w:rsid w:val="002531A5"/>
    <w:rsid w:val="00264472"/>
    <w:rsid w:val="00294662"/>
    <w:rsid w:val="002D07D9"/>
    <w:rsid w:val="0034067E"/>
    <w:rsid w:val="00370E70"/>
    <w:rsid w:val="003719B9"/>
    <w:rsid w:val="003905F4"/>
    <w:rsid w:val="003C0F16"/>
    <w:rsid w:val="003F7179"/>
    <w:rsid w:val="00496171"/>
    <w:rsid w:val="004A390B"/>
    <w:rsid w:val="004B3609"/>
    <w:rsid w:val="004B53D0"/>
    <w:rsid w:val="004C5142"/>
    <w:rsid w:val="004D6933"/>
    <w:rsid w:val="004E292B"/>
    <w:rsid w:val="004E4542"/>
    <w:rsid w:val="0056148F"/>
    <w:rsid w:val="0056236B"/>
    <w:rsid w:val="00571A73"/>
    <w:rsid w:val="00575C5F"/>
    <w:rsid w:val="005A315B"/>
    <w:rsid w:val="005B27FF"/>
    <w:rsid w:val="005C53B5"/>
    <w:rsid w:val="005D663B"/>
    <w:rsid w:val="00621233"/>
    <w:rsid w:val="0064304F"/>
    <w:rsid w:val="006637A6"/>
    <w:rsid w:val="00665060"/>
    <w:rsid w:val="006C7423"/>
    <w:rsid w:val="006D6E47"/>
    <w:rsid w:val="006E00C4"/>
    <w:rsid w:val="006F164A"/>
    <w:rsid w:val="006F19C2"/>
    <w:rsid w:val="006F7D53"/>
    <w:rsid w:val="007006F1"/>
    <w:rsid w:val="0073794B"/>
    <w:rsid w:val="00744DEB"/>
    <w:rsid w:val="007556CF"/>
    <w:rsid w:val="00777447"/>
    <w:rsid w:val="00782399"/>
    <w:rsid w:val="007C1862"/>
    <w:rsid w:val="007D16A5"/>
    <w:rsid w:val="00805009"/>
    <w:rsid w:val="00853901"/>
    <w:rsid w:val="00861E3B"/>
    <w:rsid w:val="008D547D"/>
    <w:rsid w:val="00923329"/>
    <w:rsid w:val="00926E7D"/>
    <w:rsid w:val="009437B7"/>
    <w:rsid w:val="00954F59"/>
    <w:rsid w:val="0095566B"/>
    <w:rsid w:val="0096575E"/>
    <w:rsid w:val="00985FBD"/>
    <w:rsid w:val="0099770A"/>
    <w:rsid w:val="009B6077"/>
    <w:rsid w:val="009D1E93"/>
    <w:rsid w:val="009D30E7"/>
    <w:rsid w:val="00A0149D"/>
    <w:rsid w:val="00A02D12"/>
    <w:rsid w:val="00A1587B"/>
    <w:rsid w:val="00AB0F40"/>
    <w:rsid w:val="00AB7D3F"/>
    <w:rsid w:val="00AC0A56"/>
    <w:rsid w:val="00AC3C6F"/>
    <w:rsid w:val="00AD4603"/>
    <w:rsid w:val="00B1667E"/>
    <w:rsid w:val="00B2288D"/>
    <w:rsid w:val="00B319C3"/>
    <w:rsid w:val="00B50E23"/>
    <w:rsid w:val="00B50FE8"/>
    <w:rsid w:val="00B9408B"/>
    <w:rsid w:val="00B95574"/>
    <w:rsid w:val="00BA78F3"/>
    <w:rsid w:val="00BD04F3"/>
    <w:rsid w:val="00BF1CC7"/>
    <w:rsid w:val="00C3268E"/>
    <w:rsid w:val="00C736F7"/>
    <w:rsid w:val="00CE2589"/>
    <w:rsid w:val="00D00E82"/>
    <w:rsid w:val="00D12CFC"/>
    <w:rsid w:val="00D24DE5"/>
    <w:rsid w:val="00D471D4"/>
    <w:rsid w:val="00D66336"/>
    <w:rsid w:val="00D906D2"/>
    <w:rsid w:val="00DA68D3"/>
    <w:rsid w:val="00DA72FE"/>
    <w:rsid w:val="00DB4450"/>
    <w:rsid w:val="00DB5EE4"/>
    <w:rsid w:val="00E64EF3"/>
    <w:rsid w:val="00E707F0"/>
    <w:rsid w:val="00E923D0"/>
    <w:rsid w:val="00F12C70"/>
    <w:rsid w:val="00F17F78"/>
    <w:rsid w:val="00F247A3"/>
    <w:rsid w:val="00F33717"/>
    <w:rsid w:val="00F3764D"/>
    <w:rsid w:val="00F96B2D"/>
    <w:rsid w:val="00F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C2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32C2B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customStyle="1" w:styleId="ListParagraph8">
    <w:name w:val="List Paragraph + 8"/>
    <w:aliases w:val="5 pt,Tutto maiuscole,Centrato,Sinistro:  -0,01 cm,Dopo..."/>
    <w:basedOn w:val="Paragrafoelenco1"/>
    <w:rsid w:val="00232C2B"/>
    <w:pPr>
      <w:spacing w:after="0" w:line="240" w:lineRule="auto"/>
      <w:ind w:left="-8"/>
    </w:pPr>
    <w:rPr>
      <w:sz w:val="17"/>
      <w:szCs w:val="17"/>
    </w:rPr>
  </w:style>
  <w:style w:type="paragraph" w:customStyle="1" w:styleId="Paragrafoelenco2">
    <w:name w:val="Paragrafo elenco2"/>
    <w:basedOn w:val="Normale"/>
    <w:rsid w:val="00294662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5D663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66336"/>
    <w:pPr>
      <w:widowControl w:val="0"/>
      <w:ind w:left="143" w:firstLine="0"/>
      <w:jc w:val="left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6633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564E-830A-4551-93B9-0E104A6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Mazzanti Gianluca</dc:creator>
  <cp:lastModifiedBy>GambararaSimona</cp:lastModifiedBy>
  <cp:revision>3</cp:revision>
  <cp:lastPrinted>2018-02-22T10:32:00Z</cp:lastPrinted>
  <dcterms:created xsi:type="dcterms:W3CDTF">2018-03-05T09:08:00Z</dcterms:created>
  <dcterms:modified xsi:type="dcterms:W3CDTF">2018-03-05T10:40:00Z</dcterms:modified>
</cp:coreProperties>
</file>