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BF" w:rsidRDefault="00260BBF" w:rsidP="002849E9">
      <w:pPr>
        <w:ind w:right="485"/>
        <w:jc w:val="both"/>
        <w:rPr>
          <w:b/>
          <w:sz w:val="28"/>
          <w:szCs w:val="28"/>
        </w:rPr>
      </w:pPr>
    </w:p>
    <w:p w:rsidR="00260BBF" w:rsidRDefault="008766CD" w:rsidP="002849E9">
      <w:pPr>
        <w:ind w:right="4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Tabella “</w:t>
      </w:r>
      <w:r w:rsidR="00B65FEE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”</w:t>
      </w:r>
      <w:r w:rsidR="0094670A">
        <w:rPr>
          <w:b/>
          <w:sz w:val="28"/>
          <w:szCs w:val="28"/>
        </w:rPr>
        <w:t xml:space="preserve"> – </w:t>
      </w:r>
      <w:r w:rsidR="00D66357">
        <w:rPr>
          <w:b/>
          <w:sz w:val="28"/>
          <w:szCs w:val="28"/>
        </w:rPr>
        <w:t>A</w:t>
      </w:r>
      <w:r w:rsidR="0094670A">
        <w:rPr>
          <w:b/>
          <w:sz w:val="28"/>
          <w:szCs w:val="28"/>
        </w:rPr>
        <w:t>ll</w:t>
      </w:r>
      <w:r w:rsidR="00D66357">
        <w:rPr>
          <w:b/>
          <w:sz w:val="28"/>
          <w:szCs w:val="28"/>
        </w:rPr>
        <w:t>egato</w:t>
      </w:r>
      <w:r w:rsidR="0094670A">
        <w:rPr>
          <w:b/>
          <w:sz w:val="28"/>
          <w:szCs w:val="28"/>
        </w:rPr>
        <w:t xml:space="preserve"> al PTPCT 2017-2019</w:t>
      </w:r>
    </w:p>
    <w:p w:rsidR="00260BBF" w:rsidRPr="003A27DC" w:rsidRDefault="00260BBF" w:rsidP="002849E9">
      <w:pPr>
        <w:ind w:right="485"/>
        <w:jc w:val="both"/>
        <w:rPr>
          <w:sz w:val="28"/>
          <w:szCs w:val="28"/>
        </w:rPr>
      </w:pPr>
    </w:p>
    <w:p w:rsidR="007301DF" w:rsidRPr="00EF6A21" w:rsidRDefault="007301DF" w:rsidP="00406972">
      <w:pPr>
        <w:ind w:right="485"/>
        <w:jc w:val="center"/>
        <w:rPr>
          <w:b/>
          <w:spacing w:val="40"/>
          <w:sz w:val="30"/>
          <w:szCs w:val="30"/>
        </w:rPr>
      </w:pPr>
      <w:r w:rsidRPr="00EF6A21">
        <w:rPr>
          <w:b/>
          <w:spacing w:val="40"/>
          <w:sz w:val="30"/>
          <w:szCs w:val="30"/>
        </w:rPr>
        <w:t xml:space="preserve">ANALISI DEI RISCHI DELL’AREA </w:t>
      </w:r>
      <w:r w:rsidRPr="00EF6A21">
        <w:rPr>
          <w:b/>
          <w:i/>
          <w:spacing w:val="40"/>
          <w:sz w:val="30"/>
          <w:szCs w:val="30"/>
        </w:rPr>
        <w:t>“CONTRATTI PUBBLICI”</w:t>
      </w:r>
    </w:p>
    <w:p w:rsidR="000F5555" w:rsidRDefault="00A55E14" w:rsidP="00A55E14">
      <w:pPr>
        <w:pStyle w:val="Paragrafoelenco1"/>
        <w:tabs>
          <w:tab w:val="left" w:pos="16175"/>
        </w:tabs>
        <w:spacing w:after="0" w:line="240" w:lineRule="auto"/>
        <w:ind w:left="0" w:right="-1135"/>
        <w:rPr>
          <w:b/>
        </w:rPr>
      </w:pPr>
      <w:r>
        <w:rPr>
          <w:b/>
        </w:rPr>
        <w:tab/>
      </w:r>
    </w:p>
    <w:p w:rsidR="00D66357" w:rsidRDefault="00D66357" w:rsidP="00A55E14">
      <w:pPr>
        <w:pStyle w:val="Paragrafoelenco1"/>
        <w:tabs>
          <w:tab w:val="left" w:pos="16175"/>
        </w:tabs>
        <w:spacing w:after="0" w:line="240" w:lineRule="auto"/>
        <w:ind w:left="0" w:right="-1135"/>
        <w:rPr>
          <w:b/>
        </w:rPr>
      </w:pPr>
    </w:p>
    <w:p w:rsidR="00D66357" w:rsidRPr="002F7A9F" w:rsidRDefault="00D66357" w:rsidP="00A55E14">
      <w:pPr>
        <w:pStyle w:val="Paragrafoelenco1"/>
        <w:tabs>
          <w:tab w:val="left" w:pos="16175"/>
        </w:tabs>
        <w:spacing w:after="0" w:line="240" w:lineRule="auto"/>
        <w:ind w:left="0" w:right="-1135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6"/>
        <w:gridCol w:w="1808"/>
        <w:gridCol w:w="2383"/>
        <w:gridCol w:w="2377"/>
        <w:gridCol w:w="1850"/>
        <w:gridCol w:w="2144"/>
        <w:gridCol w:w="2386"/>
        <w:gridCol w:w="2185"/>
        <w:gridCol w:w="2401"/>
        <w:gridCol w:w="2221"/>
      </w:tblGrid>
      <w:tr w:rsidR="007301DF" w:rsidRPr="00EF6A21" w:rsidTr="00182DE4">
        <w:trPr>
          <w:trHeight w:val="525"/>
        </w:trPr>
        <w:tc>
          <w:tcPr>
            <w:tcW w:w="0" w:type="auto"/>
            <w:gridSpan w:val="10"/>
            <w:vAlign w:val="center"/>
          </w:tcPr>
          <w:p w:rsidR="007301DF" w:rsidRPr="00EF6A21" w:rsidRDefault="007301DF" w:rsidP="003A27DC">
            <w:pPr>
              <w:jc w:val="center"/>
              <w:rPr>
                <w:b/>
                <w:spacing w:val="20"/>
              </w:rPr>
            </w:pPr>
          </w:p>
        </w:tc>
      </w:tr>
      <w:tr w:rsidR="00893891" w:rsidRPr="008963BF" w:rsidTr="008963BF">
        <w:trPr>
          <w:trHeight w:val="353"/>
        </w:trPr>
        <w:tc>
          <w:tcPr>
            <w:tcW w:w="0" w:type="auto"/>
          </w:tcPr>
          <w:p w:rsidR="001A26AF" w:rsidRPr="008963BF" w:rsidRDefault="001A26AF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A26AF" w:rsidRPr="008963BF" w:rsidRDefault="001A26AF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A26AF" w:rsidRPr="008963BF" w:rsidRDefault="001A26AF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A26AF" w:rsidRPr="008963BF" w:rsidRDefault="001A26AF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A26AF" w:rsidRPr="008963BF" w:rsidRDefault="001A26AF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A26AF" w:rsidRPr="008963BF" w:rsidRDefault="001A26AF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A26AF" w:rsidRPr="008963BF" w:rsidRDefault="005C210A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A26AF" w:rsidRPr="008963BF" w:rsidRDefault="001A26AF" w:rsidP="00266C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A26AF" w:rsidRPr="008963BF" w:rsidRDefault="005C210A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A26AF" w:rsidRPr="008963BF" w:rsidRDefault="005C210A" w:rsidP="00266CF1">
            <w:pPr>
              <w:jc w:val="center"/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10</w:t>
            </w:r>
          </w:p>
        </w:tc>
      </w:tr>
      <w:tr w:rsidR="00893891" w:rsidRPr="008963BF" w:rsidTr="00E8021B">
        <w:tc>
          <w:tcPr>
            <w:tcW w:w="0" w:type="auto"/>
            <w:vAlign w:val="center"/>
          </w:tcPr>
          <w:p w:rsidR="001A26AF" w:rsidRPr="008963BF" w:rsidRDefault="001A26AF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Fasi procedure di affidamento</w:t>
            </w:r>
          </w:p>
        </w:tc>
        <w:tc>
          <w:tcPr>
            <w:tcW w:w="0" w:type="auto"/>
            <w:vAlign w:val="center"/>
          </w:tcPr>
          <w:p w:rsidR="001A26AF" w:rsidRPr="008963BF" w:rsidRDefault="001A26AF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 xml:space="preserve">Indicatore </w:t>
            </w:r>
          </w:p>
        </w:tc>
        <w:tc>
          <w:tcPr>
            <w:tcW w:w="0" w:type="auto"/>
            <w:vAlign w:val="center"/>
          </w:tcPr>
          <w:p w:rsidR="001A26AF" w:rsidRPr="008963BF" w:rsidRDefault="001A26AF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 xml:space="preserve">Modalità di calcolo dell’indicatore </w:t>
            </w:r>
          </w:p>
        </w:tc>
        <w:tc>
          <w:tcPr>
            <w:tcW w:w="0" w:type="auto"/>
            <w:vAlign w:val="center"/>
          </w:tcPr>
          <w:p w:rsidR="001A26AF" w:rsidRPr="008963BF" w:rsidRDefault="001A26AF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 xml:space="preserve">Anomalie evidenziate dall’indicatore </w:t>
            </w:r>
          </w:p>
        </w:tc>
        <w:tc>
          <w:tcPr>
            <w:tcW w:w="0" w:type="auto"/>
            <w:vAlign w:val="center"/>
          </w:tcPr>
          <w:p w:rsidR="001A26AF" w:rsidRPr="008963BF" w:rsidRDefault="001A26AF" w:rsidP="00477688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Processi interessati dalle</w:t>
            </w:r>
            <w:r w:rsidR="00477688">
              <w:rPr>
                <w:b/>
                <w:sz w:val="22"/>
                <w:szCs w:val="22"/>
              </w:rPr>
              <w:t xml:space="preserve"> </w:t>
            </w:r>
            <w:r w:rsidRPr="008963BF">
              <w:rPr>
                <w:b/>
                <w:sz w:val="22"/>
                <w:szCs w:val="22"/>
              </w:rPr>
              <w:t>anomalie</w:t>
            </w:r>
          </w:p>
        </w:tc>
        <w:tc>
          <w:tcPr>
            <w:tcW w:w="0" w:type="auto"/>
            <w:vAlign w:val="center"/>
          </w:tcPr>
          <w:p w:rsidR="001A26AF" w:rsidRPr="008963BF" w:rsidRDefault="001A26AF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 xml:space="preserve">Eventi rischiosi </w:t>
            </w:r>
          </w:p>
        </w:tc>
        <w:tc>
          <w:tcPr>
            <w:tcW w:w="0" w:type="auto"/>
            <w:vAlign w:val="center"/>
          </w:tcPr>
          <w:p w:rsidR="001A26AF" w:rsidRPr="008963BF" w:rsidRDefault="001A26AF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>Cause</w:t>
            </w:r>
            <w:r w:rsidR="00E85CC1" w:rsidRPr="008963BF">
              <w:rPr>
                <w:b/>
                <w:sz w:val="22"/>
                <w:szCs w:val="22"/>
              </w:rPr>
              <w:t xml:space="preserve"> eventi</w:t>
            </w:r>
            <w:r w:rsidRPr="008963BF">
              <w:rPr>
                <w:b/>
                <w:sz w:val="22"/>
                <w:szCs w:val="22"/>
              </w:rPr>
              <w:t xml:space="preserve"> </w:t>
            </w:r>
            <w:r w:rsidR="00E85CC1" w:rsidRPr="008963BF">
              <w:rPr>
                <w:b/>
                <w:sz w:val="22"/>
                <w:szCs w:val="22"/>
              </w:rPr>
              <w:t>rischiosi</w:t>
            </w:r>
          </w:p>
        </w:tc>
        <w:tc>
          <w:tcPr>
            <w:tcW w:w="0" w:type="auto"/>
            <w:vAlign w:val="center"/>
          </w:tcPr>
          <w:p w:rsidR="001A26AF" w:rsidRPr="008963BF" w:rsidRDefault="00A12D52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 xml:space="preserve">Misurazione del rischio </w:t>
            </w:r>
          </w:p>
        </w:tc>
        <w:tc>
          <w:tcPr>
            <w:tcW w:w="0" w:type="auto"/>
            <w:vAlign w:val="center"/>
          </w:tcPr>
          <w:p w:rsidR="001A26AF" w:rsidRPr="008963BF" w:rsidRDefault="001A26AF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 xml:space="preserve">Valutazione del rischio </w:t>
            </w:r>
          </w:p>
        </w:tc>
        <w:tc>
          <w:tcPr>
            <w:tcW w:w="0" w:type="auto"/>
            <w:vAlign w:val="center"/>
          </w:tcPr>
          <w:p w:rsidR="001A26AF" w:rsidRPr="008963BF" w:rsidRDefault="001A26AF" w:rsidP="00E8021B">
            <w:pPr>
              <w:rPr>
                <w:b/>
                <w:sz w:val="22"/>
                <w:szCs w:val="22"/>
              </w:rPr>
            </w:pPr>
            <w:r w:rsidRPr="008963BF">
              <w:rPr>
                <w:b/>
                <w:sz w:val="22"/>
                <w:szCs w:val="22"/>
              </w:rPr>
              <w:t xml:space="preserve">Trattamento del rischio (misure) </w:t>
            </w:r>
          </w:p>
        </w:tc>
      </w:tr>
      <w:tr w:rsidR="00893891" w:rsidRPr="008963BF" w:rsidTr="00477688">
        <w:trPr>
          <w:trHeight w:val="5190"/>
        </w:trPr>
        <w:tc>
          <w:tcPr>
            <w:tcW w:w="0" w:type="auto"/>
          </w:tcPr>
          <w:p w:rsidR="001A26AF" w:rsidRPr="008963BF" w:rsidRDefault="001A26A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1.</w:t>
            </w:r>
            <w:r w:rsidR="0094670A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 xml:space="preserve">Programmazione dei contratti </w:t>
            </w:r>
          </w:p>
        </w:tc>
        <w:tc>
          <w:tcPr>
            <w:tcW w:w="0" w:type="auto"/>
          </w:tcPr>
          <w:p w:rsidR="001A26AF" w:rsidRPr="008963BF" w:rsidRDefault="001A26A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N. contratti prorogati</w:t>
            </w:r>
            <w:r w:rsidR="00477688">
              <w:rPr>
                <w:sz w:val="22"/>
                <w:szCs w:val="22"/>
              </w:rPr>
              <w:t xml:space="preserve"> </w:t>
            </w:r>
            <w:r w:rsidR="006F1AEF" w:rsidRPr="008963BF">
              <w:rPr>
                <w:sz w:val="22"/>
                <w:szCs w:val="22"/>
              </w:rPr>
              <w:t>biennio 2015-</w:t>
            </w:r>
            <w:r w:rsidRPr="008963BF">
              <w:rPr>
                <w:sz w:val="22"/>
                <w:szCs w:val="22"/>
              </w:rPr>
              <w:t>2016</w:t>
            </w:r>
            <w:r w:rsidR="009D09C6" w:rsidRPr="008963BF">
              <w:rPr>
                <w:sz w:val="22"/>
                <w:szCs w:val="22"/>
              </w:rPr>
              <w:t xml:space="preserve"> </w:t>
            </w:r>
            <w:r w:rsidR="009D09C6" w:rsidRPr="00022712">
              <w:rPr>
                <w:sz w:val="22"/>
                <w:szCs w:val="22"/>
              </w:rPr>
              <w:t>rapportato</w:t>
            </w:r>
            <w:r w:rsidR="009D09C6" w:rsidRPr="008963BF">
              <w:rPr>
                <w:sz w:val="22"/>
                <w:szCs w:val="22"/>
              </w:rPr>
              <w:t xml:space="preserve"> al </w:t>
            </w:r>
            <w:r w:rsidR="00B65FEE">
              <w:rPr>
                <w:sz w:val="22"/>
                <w:szCs w:val="22"/>
              </w:rPr>
              <w:t>n</w:t>
            </w:r>
            <w:r w:rsidRPr="008963BF">
              <w:rPr>
                <w:sz w:val="22"/>
                <w:szCs w:val="22"/>
              </w:rPr>
              <w:t xml:space="preserve">. contratti in scadenza </w:t>
            </w:r>
            <w:r w:rsidR="006F1AEF" w:rsidRPr="008963BF">
              <w:rPr>
                <w:sz w:val="22"/>
                <w:szCs w:val="22"/>
              </w:rPr>
              <w:t>nel biennio 2015-</w:t>
            </w:r>
            <w:r w:rsidRPr="008963BF">
              <w:rPr>
                <w:sz w:val="22"/>
                <w:szCs w:val="22"/>
              </w:rPr>
              <w:t>2016</w:t>
            </w:r>
          </w:p>
          <w:p w:rsidR="001A26AF" w:rsidRPr="008963BF" w:rsidRDefault="001A26AF" w:rsidP="000E61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A26AF" w:rsidRPr="008963BF" w:rsidRDefault="008C0C35" w:rsidP="000E6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 numeratore è </w:t>
            </w:r>
            <w:r w:rsidR="001A26AF" w:rsidRPr="008963BF">
              <w:rPr>
                <w:sz w:val="22"/>
                <w:szCs w:val="22"/>
              </w:rPr>
              <w:t>inserito il numero di contratti prorogati nel biennio 2015/2016 e al denomi</w:t>
            </w:r>
            <w:r w:rsidR="00893891">
              <w:rPr>
                <w:sz w:val="22"/>
                <w:szCs w:val="22"/>
              </w:rPr>
              <w:t>-</w:t>
            </w:r>
            <w:r w:rsidR="001A26AF" w:rsidRPr="008963BF">
              <w:rPr>
                <w:sz w:val="22"/>
                <w:szCs w:val="22"/>
              </w:rPr>
              <w:t>natore il numero di contratti</w:t>
            </w:r>
            <w:r w:rsidR="00477688">
              <w:rPr>
                <w:sz w:val="22"/>
                <w:szCs w:val="22"/>
              </w:rPr>
              <w:t xml:space="preserve"> </w:t>
            </w:r>
            <w:r w:rsidR="001A26AF" w:rsidRPr="008963BF">
              <w:rPr>
                <w:sz w:val="22"/>
                <w:szCs w:val="22"/>
              </w:rPr>
              <w:t xml:space="preserve">in scadenza nello stesso biennio. </w:t>
            </w:r>
          </w:p>
          <w:p w:rsidR="001A26AF" w:rsidRPr="008963BF" w:rsidRDefault="001A26AF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Per contratti prorogati si intendono quelli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per i quali, alla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scadenza, il rapporto contrattuale è proseguito con lo stesso operatore economico, attraverso proroghe o affidamenti diretti.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1A26AF" w:rsidRPr="008963BF" w:rsidRDefault="001A26AF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L’indicatore </w:t>
            </w:r>
            <w:r w:rsidR="00AD18AF">
              <w:rPr>
                <w:sz w:val="22"/>
                <w:szCs w:val="22"/>
              </w:rPr>
              <w:t>ha lo scopo di evidenziare</w:t>
            </w:r>
            <w:r w:rsidRPr="008963BF">
              <w:rPr>
                <w:sz w:val="22"/>
                <w:szCs w:val="22"/>
              </w:rPr>
              <w:t xml:space="preserve"> eventuali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carenze nella program</w:t>
            </w:r>
            <w:r w:rsidR="00893891">
              <w:rPr>
                <w:sz w:val="22"/>
                <w:szCs w:val="22"/>
              </w:rPr>
              <w:t>-</w:t>
            </w:r>
            <w:r w:rsidRPr="008963BF">
              <w:rPr>
                <w:sz w:val="22"/>
                <w:szCs w:val="22"/>
              </w:rPr>
              <w:t>mazione che hanno portato a dover prorogare contratti scaduti ritardando le nuove procedure di affidamento. Più il valore di tale indicatore è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alto (</w:t>
            </w:r>
            <w:r w:rsidR="00502933">
              <w:rPr>
                <w:sz w:val="22"/>
                <w:szCs w:val="22"/>
              </w:rPr>
              <w:t>tra 0,5 e 1</w:t>
            </w:r>
            <w:r w:rsidR="009D09C6" w:rsidRPr="008963BF">
              <w:rPr>
                <w:sz w:val="22"/>
                <w:szCs w:val="22"/>
              </w:rPr>
              <w:t>) più il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 xml:space="preserve">ricorso alle proroghe è </w:t>
            </w:r>
            <w:r w:rsidR="009D09C6" w:rsidRPr="008963BF">
              <w:rPr>
                <w:sz w:val="22"/>
                <w:szCs w:val="22"/>
              </w:rPr>
              <w:t xml:space="preserve">avvenuto </w:t>
            </w:r>
            <w:r w:rsidRPr="008963BF">
              <w:rPr>
                <w:sz w:val="22"/>
                <w:szCs w:val="22"/>
              </w:rPr>
              <w:t>sistematic</w:t>
            </w:r>
            <w:r w:rsidR="009D09C6" w:rsidRPr="008963BF">
              <w:rPr>
                <w:sz w:val="22"/>
                <w:szCs w:val="22"/>
              </w:rPr>
              <w:t>a</w:t>
            </w:r>
            <w:r w:rsidR="00893891">
              <w:rPr>
                <w:sz w:val="22"/>
                <w:szCs w:val="22"/>
              </w:rPr>
              <w:t>-</w:t>
            </w:r>
            <w:r w:rsidR="009D09C6" w:rsidRPr="008963BF">
              <w:rPr>
                <w:sz w:val="22"/>
                <w:szCs w:val="22"/>
              </w:rPr>
              <w:t>mente</w:t>
            </w:r>
          </w:p>
        </w:tc>
        <w:tc>
          <w:tcPr>
            <w:tcW w:w="0" w:type="auto"/>
          </w:tcPr>
          <w:p w:rsidR="001A26AF" w:rsidRPr="008963BF" w:rsidRDefault="009D09C6" w:rsidP="00893891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Rilevazione</w:t>
            </w:r>
            <w:r w:rsidR="001A26AF" w:rsidRPr="008963BF">
              <w:rPr>
                <w:sz w:val="22"/>
                <w:szCs w:val="22"/>
              </w:rPr>
              <w:t xml:space="preserve"> dei fa</w:t>
            </w:r>
            <w:r w:rsidRPr="008963BF">
              <w:rPr>
                <w:sz w:val="22"/>
                <w:szCs w:val="22"/>
              </w:rPr>
              <w:t>bbisogni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neces</w:t>
            </w:r>
            <w:r w:rsidR="00893891">
              <w:rPr>
                <w:sz w:val="22"/>
                <w:szCs w:val="22"/>
              </w:rPr>
              <w:t>-</w:t>
            </w:r>
            <w:r w:rsidRPr="008963BF">
              <w:rPr>
                <w:sz w:val="22"/>
                <w:szCs w:val="22"/>
              </w:rPr>
              <w:t>sari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alla redazione de</w:t>
            </w:r>
            <w:r w:rsidR="001A26AF" w:rsidRPr="008963BF">
              <w:rPr>
                <w:sz w:val="22"/>
                <w:szCs w:val="22"/>
              </w:rPr>
              <w:t xml:space="preserve">gli atti di </w:t>
            </w:r>
            <w:r w:rsidRPr="008963BF">
              <w:rPr>
                <w:sz w:val="22"/>
                <w:szCs w:val="22"/>
              </w:rPr>
              <w:t>p</w:t>
            </w:r>
            <w:r w:rsidR="001A26AF" w:rsidRPr="008963BF">
              <w:rPr>
                <w:sz w:val="22"/>
                <w:szCs w:val="22"/>
              </w:rPr>
              <w:t>rogrammazione</w:t>
            </w:r>
            <w:r w:rsidR="00010E64">
              <w:rPr>
                <w:sz w:val="22"/>
                <w:szCs w:val="22"/>
              </w:rPr>
              <w:t xml:space="preserve"> dei contratti</w:t>
            </w:r>
            <w:r w:rsidR="001A26AF" w:rsidRPr="008963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1A26AF" w:rsidRPr="008963BF" w:rsidRDefault="00CA26F9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 tempestiva </w:t>
            </w:r>
            <w:r w:rsidR="00521461" w:rsidRPr="00521461">
              <w:rPr>
                <w:sz w:val="22"/>
                <w:szCs w:val="22"/>
              </w:rPr>
              <w:t>programmazione</w:t>
            </w:r>
            <w:r>
              <w:rPr>
                <w:sz w:val="22"/>
                <w:szCs w:val="22"/>
              </w:rPr>
              <w:t xml:space="preserve"> per</w:t>
            </w:r>
            <w:r w:rsidR="00477688">
              <w:rPr>
                <w:sz w:val="22"/>
                <w:szCs w:val="22"/>
              </w:rPr>
              <w:t xml:space="preserve"> </w:t>
            </w:r>
            <w:r w:rsidR="00521461" w:rsidRPr="00521461">
              <w:rPr>
                <w:sz w:val="22"/>
                <w:szCs w:val="22"/>
              </w:rPr>
              <w:t>acquisto di beni e servizi i cui contratti sono in scadenza</w:t>
            </w:r>
            <w:r w:rsidR="00477688">
              <w:t xml:space="preserve"> </w:t>
            </w:r>
          </w:p>
        </w:tc>
        <w:tc>
          <w:tcPr>
            <w:tcW w:w="0" w:type="auto"/>
          </w:tcPr>
          <w:p w:rsidR="001A26AF" w:rsidRPr="008963BF" w:rsidRDefault="00CA26F9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Comportamenti organizzativi non idoneamente </w:t>
            </w:r>
            <w:r w:rsidR="002B18F7">
              <w:rPr>
                <w:sz w:val="22"/>
                <w:szCs w:val="22"/>
              </w:rPr>
              <w:t xml:space="preserve">orientati </w:t>
            </w:r>
            <w:r w:rsidR="00202B8E">
              <w:rPr>
                <w:sz w:val="22"/>
                <w:szCs w:val="22"/>
              </w:rPr>
              <w:t>alla programmazione delle attività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FFC000"/>
          </w:tcPr>
          <w:p w:rsidR="001A26AF" w:rsidRPr="008963BF" w:rsidRDefault="00521461" w:rsidP="0094670A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 xml:space="preserve">Dall’esame del valore dell’indicatore, determinato sulla base </w:t>
            </w:r>
            <w:r w:rsidR="00542B69">
              <w:rPr>
                <w:sz w:val="22"/>
                <w:szCs w:val="22"/>
              </w:rPr>
              <w:t>dei dati forniti dai Responsabili di Settore,</w:t>
            </w:r>
            <w:r w:rsidRPr="00521461">
              <w:rPr>
                <w:sz w:val="22"/>
                <w:szCs w:val="22"/>
              </w:rPr>
              <w:t xml:space="preserve"> è risultato (come meglio evidenziato </w:t>
            </w:r>
            <w:r w:rsidR="00542B69">
              <w:rPr>
                <w:sz w:val="22"/>
                <w:szCs w:val="22"/>
              </w:rPr>
              <w:t>nella tabella B</w:t>
            </w:r>
            <w:r w:rsidRPr="00521461">
              <w:rPr>
                <w:sz w:val="22"/>
                <w:szCs w:val="22"/>
              </w:rPr>
              <w:t>) un valore totale dell’indicatore</w:t>
            </w:r>
            <w:r w:rsidR="00CF1B57">
              <w:rPr>
                <w:sz w:val="22"/>
                <w:szCs w:val="22"/>
              </w:rPr>
              <w:t xml:space="preserve"> superiore</w:t>
            </w:r>
            <w:r w:rsidR="00502933">
              <w:rPr>
                <w:sz w:val="22"/>
                <w:szCs w:val="22"/>
              </w:rPr>
              <w:t xml:space="preserve"> allo 0,</w:t>
            </w:r>
            <w:r w:rsidR="00B65FEE">
              <w:rPr>
                <w:sz w:val="22"/>
                <w:szCs w:val="22"/>
              </w:rPr>
              <w:t>6</w:t>
            </w:r>
            <w:r w:rsidR="00502933">
              <w:rPr>
                <w:sz w:val="22"/>
                <w:szCs w:val="22"/>
              </w:rPr>
              <w:t xml:space="preserve"> e quindi il rischio è </w:t>
            </w:r>
            <w:r w:rsidR="007A2E12">
              <w:rPr>
                <w:sz w:val="22"/>
                <w:szCs w:val="22"/>
              </w:rPr>
              <w:t xml:space="preserve">di livello </w:t>
            </w:r>
            <w:r w:rsidR="00502933">
              <w:rPr>
                <w:sz w:val="22"/>
                <w:szCs w:val="22"/>
              </w:rPr>
              <w:t>MEDIO-</w:t>
            </w:r>
            <w:r w:rsidR="00B65FEE">
              <w:rPr>
                <w:sz w:val="22"/>
                <w:szCs w:val="22"/>
              </w:rPr>
              <w:t>ALTO</w:t>
            </w:r>
          </w:p>
        </w:tc>
        <w:tc>
          <w:tcPr>
            <w:tcW w:w="0" w:type="auto"/>
          </w:tcPr>
          <w:p w:rsidR="001A26AF" w:rsidRPr="008963BF" w:rsidRDefault="00521461" w:rsidP="00477688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Considerato che la probabilità che si verifichi il rischio è risulta</w:t>
            </w:r>
            <w:r w:rsidR="00172E3F">
              <w:rPr>
                <w:sz w:val="22"/>
                <w:szCs w:val="22"/>
              </w:rPr>
              <w:t>ta complessiva</w:t>
            </w:r>
            <w:r w:rsidR="00477688">
              <w:rPr>
                <w:sz w:val="22"/>
                <w:szCs w:val="22"/>
              </w:rPr>
              <w:t>-</w:t>
            </w:r>
            <w:r w:rsidR="00172E3F">
              <w:rPr>
                <w:sz w:val="22"/>
                <w:szCs w:val="22"/>
              </w:rPr>
              <w:t>mente</w:t>
            </w:r>
            <w:r w:rsidR="00477688">
              <w:rPr>
                <w:sz w:val="22"/>
                <w:szCs w:val="22"/>
              </w:rPr>
              <w:t xml:space="preserve"> </w:t>
            </w:r>
            <w:proofErr w:type="spellStart"/>
            <w:r w:rsidR="00172E3F">
              <w:rPr>
                <w:sz w:val="22"/>
                <w:szCs w:val="22"/>
              </w:rPr>
              <w:t>medio-</w:t>
            </w:r>
            <w:r w:rsidR="00B65FEE">
              <w:rPr>
                <w:sz w:val="22"/>
                <w:szCs w:val="22"/>
              </w:rPr>
              <w:t>alta</w:t>
            </w:r>
            <w:proofErr w:type="spellEnd"/>
            <w:r w:rsidRPr="00521461">
              <w:rPr>
                <w:sz w:val="22"/>
                <w:szCs w:val="22"/>
              </w:rPr>
              <w:t xml:space="preserve"> si ritiene di trattare il rischio </w:t>
            </w:r>
            <w:r w:rsidR="00B65FEE">
              <w:rPr>
                <w:sz w:val="22"/>
                <w:szCs w:val="22"/>
              </w:rPr>
              <w:t>già dall</w:t>
            </w:r>
            <w:r w:rsidRPr="00521461">
              <w:rPr>
                <w:sz w:val="22"/>
                <w:szCs w:val="22"/>
              </w:rPr>
              <w:t xml:space="preserve">’anno 2017, </w:t>
            </w:r>
            <w:r w:rsidR="00B65FEE">
              <w:rPr>
                <w:sz w:val="22"/>
                <w:szCs w:val="22"/>
              </w:rPr>
              <w:t>con misure di carattere organizzativo, volte ad ottimizzare i tempi di elaboraz</w:t>
            </w:r>
            <w:r w:rsidR="00724401">
              <w:rPr>
                <w:sz w:val="22"/>
                <w:szCs w:val="22"/>
              </w:rPr>
              <w:t>ione della documentazione necessaria per l’affi</w:t>
            </w:r>
            <w:r w:rsidR="00542B69">
              <w:rPr>
                <w:sz w:val="22"/>
                <w:szCs w:val="22"/>
              </w:rPr>
              <w:t>damento con gara delle forniture</w:t>
            </w:r>
            <w:r w:rsidR="00724401">
              <w:rPr>
                <w:sz w:val="22"/>
                <w:szCs w:val="22"/>
              </w:rPr>
              <w:t xml:space="preserve"> di beni e servizi in scadenza</w:t>
            </w:r>
            <w:r w:rsidR="00477688">
              <w:rPr>
                <w:sz w:val="22"/>
                <w:szCs w:val="22"/>
              </w:rPr>
              <w:t xml:space="preserve"> </w:t>
            </w:r>
            <w:r w:rsidR="00B65FEE">
              <w:rPr>
                <w:sz w:val="22"/>
                <w:szCs w:val="22"/>
              </w:rPr>
              <w:t>e di espletamento della gara stessa, al fine di addivenire all’aggiudicazione in tempi sufficientemente antecedenti</w:t>
            </w:r>
            <w:r w:rsidR="00477688">
              <w:rPr>
                <w:sz w:val="22"/>
                <w:szCs w:val="22"/>
              </w:rPr>
              <w:t xml:space="preserve"> </w:t>
            </w:r>
            <w:r w:rsidR="00B65FEE">
              <w:rPr>
                <w:sz w:val="22"/>
                <w:szCs w:val="22"/>
              </w:rPr>
              <w:t>la scadenza del contratto.</w:t>
            </w:r>
          </w:p>
        </w:tc>
        <w:tc>
          <w:tcPr>
            <w:tcW w:w="0" w:type="auto"/>
          </w:tcPr>
          <w:p w:rsidR="00B65FEE" w:rsidRDefault="00B65FEE" w:rsidP="00B65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10E64">
              <w:rPr>
                <w:sz w:val="22"/>
                <w:szCs w:val="22"/>
              </w:rPr>
              <w:t>engono previste</w:t>
            </w:r>
            <w:r w:rsidR="00502933">
              <w:rPr>
                <w:sz w:val="22"/>
                <w:szCs w:val="22"/>
              </w:rPr>
              <w:t xml:space="preserve"> misure </w:t>
            </w:r>
            <w:r>
              <w:rPr>
                <w:sz w:val="22"/>
                <w:szCs w:val="22"/>
              </w:rPr>
              <w:t>di carattere organizzativo:</w:t>
            </w:r>
          </w:p>
          <w:p w:rsidR="00B65FEE" w:rsidRDefault="00B65FEE" w:rsidP="00B65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A3701A">
              <w:rPr>
                <w:sz w:val="22"/>
                <w:szCs w:val="22"/>
              </w:rPr>
              <w:t xml:space="preserve"> Per il Responsabile di Settore: t</w:t>
            </w:r>
            <w:r w:rsidR="00724401">
              <w:rPr>
                <w:sz w:val="22"/>
                <w:szCs w:val="22"/>
              </w:rPr>
              <w:t>empestiva trasmissione</w:t>
            </w:r>
            <w:r w:rsidR="00A3701A">
              <w:rPr>
                <w:sz w:val="22"/>
                <w:szCs w:val="22"/>
              </w:rPr>
              <w:t xml:space="preserve"> al servizio gare e contratti del Comune o all’ufficio della </w:t>
            </w:r>
            <w:proofErr w:type="spellStart"/>
            <w:r w:rsidR="00A3701A">
              <w:rPr>
                <w:sz w:val="22"/>
                <w:szCs w:val="22"/>
              </w:rPr>
              <w:t>C.U.C.</w:t>
            </w:r>
            <w:proofErr w:type="spellEnd"/>
            <w:r w:rsidR="00724401">
              <w:rPr>
                <w:sz w:val="22"/>
                <w:szCs w:val="22"/>
              </w:rPr>
              <w:t>, con tempi differenziati in relazione alla procedura di gara prescelta, di tutta la documentazione necessaria all’i</w:t>
            </w:r>
            <w:r w:rsidR="00A3701A">
              <w:rPr>
                <w:sz w:val="22"/>
                <w:szCs w:val="22"/>
              </w:rPr>
              <w:t>ndizio</w:t>
            </w:r>
            <w:r w:rsidR="0011261A">
              <w:rPr>
                <w:sz w:val="22"/>
                <w:szCs w:val="22"/>
              </w:rPr>
              <w:t>-</w:t>
            </w:r>
            <w:r w:rsidR="00A3701A">
              <w:rPr>
                <w:sz w:val="22"/>
                <w:szCs w:val="22"/>
              </w:rPr>
              <w:t>ne della gara;</w:t>
            </w:r>
          </w:p>
          <w:p w:rsidR="00A3701A" w:rsidRDefault="00B65FEE" w:rsidP="00B65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="00A3701A">
              <w:rPr>
                <w:sz w:val="22"/>
                <w:szCs w:val="22"/>
              </w:rPr>
              <w:t xml:space="preserve"> Per il Servizio gare e contratti relativamente alle procedure di competenza del Comune:</w:t>
            </w:r>
            <w:r w:rsidR="00477688">
              <w:rPr>
                <w:sz w:val="22"/>
                <w:szCs w:val="22"/>
              </w:rPr>
              <w:t xml:space="preserve"> </w:t>
            </w:r>
            <w:r w:rsidR="00A3701A">
              <w:rPr>
                <w:sz w:val="22"/>
                <w:szCs w:val="22"/>
              </w:rPr>
              <w:t>tempestiva predisposizione</w:t>
            </w:r>
            <w:r w:rsidR="00724401">
              <w:rPr>
                <w:sz w:val="22"/>
                <w:szCs w:val="22"/>
              </w:rPr>
              <w:t xml:space="preserve"> del bando di gara o dell’avviso esplorativo in caso di procedura negoziata</w:t>
            </w:r>
            <w:r w:rsidR="00A3701A">
              <w:rPr>
                <w:sz w:val="22"/>
                <w:szCs w:val="22"/>
              </w:rPr>
              <w:t>;</w:t>
            </w:r>
          </w:p>
          <w:p w:rsidR="001A26AF" w:rsidRPr="008963BF" w:rsidRDefault="00A3701A" w:rsidP="00B65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Per il Responsabile di Settore con riferimento alle procedure di competenza del Comune: tempestiva</w:t>
            </w:r>
            <w:r w:rsidR="00DE035D">
              <w:rPr>
                <w:sz w:val="22"/>
                <w:szCs w:val="22"/>
              </w:rPr>
              <w:t xml:space="preserve"> pubblicazione del bando di gara</w:t>
            </w:r>
            <w:r>
              <w:rPr>
                <w:sz w:val="22"/>
                <w:szCs w:val="22"/>
              </w:rPr>
              <w:t xml:space="preserve"> o dell’avviso esplorativo in caso di procedura negoziata </w:t>
            </w:r>
          </w:p>
        </w:tc>
      </w:tr>
      <w:tr w:rsidR="00893891" w:rsidRPr="008963BF" w:rsidTr="00477688">
        <w:tc>
          <w:tcPr>
            <w:tcW w:w="0" w:type="auto"/>
          </w:tcPr>
          <w:p w:rsidR="001A26AF" w:rsidRPr="008963BF" w:rsidRDefault="001A26A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lastRenderedPageBreak/>
              <w:t xml:space="preserve">2. Progettazione dei contratti </w:t>
            </w:r>
          </w:p>
        </w:tc>
        <w:tc>
          <w:tcPr>
            <w:tcW w:w="0" w:type="auto"/>
          </w:tcPr>
          <w:p w:rsidR="001A26AF" w:rsidRPr="008963BF" w:rsidRDefault="001A26AF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N. di procedure negoziate senza previo avviso di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indagine di mercato</w:t>
            </w:r>
            <w:r w:rsidR="006F1AEF" w:rsidRPr="008963BF">
              <w:rPr>
                <w:sz w:val="22"/>
                <w:szCs w:val="22"/>
              </w:rPr>
              <w:t xml:space="preserve"> avviate nel biennio 2015-</w:t>
            </w:r>
            <w:r w:rsidR="00E413C2" w:rsidRPr="008963BF">
              <w:rPr>
                <w:sz w:val="22"/>
                <w:szCs w:val="22"/>
              </w:rPr>
              <w:t xml:space="preserve">2016 </w:t>
            </w:r>
            <w:r w:rsidR="00E413C2" w:rsidRPr="00ED0108">
              <w:rPr>
                <w:sz w:val="22"/>
                <w:szCs w:val="22"/>
              </w:rPr>
              <w:t xml:space="preserve">rapportato </w:t>
            </w:r>
            <w:r w:rsidR="00E413C2" w:rsidRPr="008963BF">
              <w:rPr>
                <w:sz w:val="22"/>
                <w:szCs w:val="22"/>
              </w:rPr>
              <w:t>al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N. totale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di procedure di affid</w:t>
            </w:r>
            <w:r w:rsidR="006F1AEF" w:rsidRPr="008963BF">
              <w:rPr>
                <w:sz w:val="22"/>
                <w:szCs w:val="22"/>
              </w:rPr>
              <w:t>amento avviate nel biennio 2015-</w:t>
            </w:r>
            <w:r w:rsidRPr="008963BF">
              <w:rPr>
                <w:sz w:val="22"/>
                <w:szCs w:val="22"/>
              </w:rPr>
              <w:t>2016</w:t>
            </w:r>
          </w:p>
        </w:tc>
        <w:tc>
          <w:tcPr>
            <w:tcW w:w="0" w:type="auto"/>
          </w:tcPr>
          <w:p w:rsidR="001A26AF" w:rsidRPr="008963BF" w:rsidRDefault="001A26A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Al numeratore è stato inserito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il numero di procedure negoziate avviate nel biennio 2015/2016 per le quali non è stato previamente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pubblicato un avviso di indagine di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mercato per individuare le ditte da invitare.</w:t>
            </w:r>
          </w:p>
          <w:p w:rsidR="001A26AF" w:rsidRPr="008963BF" w:rsidRDefault="001A26A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Al denom</w:t>
            </w:r>
            <w:r w:rsidR="00E413C2" w:rsidRPr="008963BF">
              <w:rPr>
                <w:sz w:val="22"/>
                <w:szCs w:val="22"/>
              </w:rPr>
              <w:t>inatore è stato invece inserito</w:t>
            </w:r>
            <w:r w:rsidRPr="008963BF">
              <w:rPr>
                <w:sz w:val="22"/>
                <w:szCs w:val="22"/>
              </w:rPr>
              <w:t xml:space="preserve"> il numero complessivo di procedure di affidamento avviate nel suddetto biennio 2015/2016.</w:t>
            </w:r>
          </w:p>
          <w:p w:rsidR="001A26AF" w:rsidRPr="008963BF" w:rsidRDefault="001A26AF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Nelle procedure negoziate sono state ricomprese anche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quelle nelle quali sono stati chiesti preventivi ad operatori economici scelti discrezionalmente dal Dirigente o dal RUP, nonché tutte le procedure avviate tramite MEPA, sia mediante Ordine Diretto che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Richiesta di Offerta.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1A26AF" w:rsidRPr="008963BF" w:rsidRDefault="001A26A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L’indicatore </w:t>
            </w:r>
            <w:r w:rsidR="00AD18AF">
              <w:rPr>
                <w:sz w:val="22"/>
                <w:szCs w:val="22"/>
              </w:rPr>
              <w:t>ha lo scopo di evidenziare</w:t>
            </w:r>
            <w:r w:rsidR="00AD18AF" w:rsidRPr="008963BF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l’eventuale eccessivo ricorso a procedure non competitive</w:t>
            </w:r>
            <w:r w:rsidR="004756C6">
              <w:rPr>
                <w:sz w:val="22"/>
                <w:szCs w:val="22"/>
              </w:rPr>
              <w:t>,</w:t>
            </w:r>
            <w:r w:rsidR="00D905B9" w:rsidRPr="008963BF">
              <w:rPr>
                <w:sz w:val="22"/>
                <w:szCs w:val="22"/>
              </w:rPr>
              <w:t xml:space="preserve"> con gli operatori affidatari o da invitare scelti discrezionalmente dal Dirigente o dal RUP</w:t>
            </w:r>
            <w:r w:rsidRPr="008963BF">
              <w:rPr>
                <w:sz w:val="22"/>
                <w:szCs w:val="22"/>
              </w:rPr>
              <w:t>.</w:t>
            </w:r>
          </w:p>
          <w:p w:rsidR="001A26AF" w:rsidRPr="008963BF" w:rsidRDefault="005D5B4B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Considerato che l’indicatore tiene conto solo del numero delle procedure e non anche del valore e che</w:t>
            </w:r>
            <w:r w:rsidR="00F5778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nel numero delle procedure</w:t>
            </w:r>
            <w:r w:rsidR="004776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sono ricompresi anche</w:t>
            </w:r>
            <w:r w:rsidR="004776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tutti gli affidamenti di piccolo importo, si ritiene comunque che un</w:t>
            </w:r>
            <w:r w:rsidR="00477688">
              <w:rPr>
                <w:sz w:val="22"/>
                <w:szCs w:val="22"/>
              </w:rPr>
              <w:t xml:space="preserve"> </w:t>
            </w:r>
            <w:r w:rsidR="001A26AF" w:rsidRPr="008963BF">
              <w:rPr>
                <w:sz w:val="22"/>
                <w:szCs w:val="22"/>
              </w:rPr>
              <w:t>valore</w:t>
            </w:r>
            <w:r w:rsidR="00477688">
              <w:rPr>
                <w:sz w:val="22"/>
                <w:szCs w:val="22"/>
              </w:rPr>
              <w:t xml:space="preserve"> </w:t>
            </w:r>
            <w:r w:rsidR="001A26AF" w:rsidRPr="008963BF">
              <w:rPr>
                <w:sz w:val="22"/>
                <w:szCs w:val="22"/>
              </w:rPr>
              <w:t>de</w:t>
            </w:r>
            <w:r w:rsidR="004756C6">
              <w:rPr>
                <w:sz w:val="22"/>
                <w:szCs w:val="22"/>
              </w:rPr>
              <w:t>ll’indicatore superiore allo 0,</w:t>
            </w:r>
            <w:r w:rsidR="00ED0108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possa essere segnale</w:t>
            </w:r>
            <w:r w:rsidR="00477688">
              <w:rPr>
                <w:sz w:val="22"/>
                <w:szCs w:val="22"/>
              </w:rPr>
              <w:t xml:space="preserve"> </w:t>
            </w:r>
            <w:r w:rsidR="001A26AF" w:rsidRPr="008963BF">
              <w:rPr>
                <w:sz w:val="22"/>
                <w:szCs w:val="22"/>
              </w:rPr>
              <w:t>di una possibile anomalia dovuta all’eccessivo utilizzo di procedure non compet</w:t>
            </w:r>
            <w:r w:rsidR="006A4208">
              <w:rPr>
                <w:sz w:val="22"/>
                <w:szCs w:val="22"/>
              </w:rPr>
              <w:t>itive, che va pertanto trattata</w:t>
            </w:r>
          </w:p>
        </w:tc>
        <w:tc>
          <w:tcPr>
            <w:tcW w:w="0" w:type="auto"/>
          </w:tcPr>
          <w:p w:rsidR="001A26AF" w:rsidRPr="008963BF" w:rsidRDefault="001A26A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Scelta della procedura di aggiudicazione (con particolare attenzione al ricorso alle procedure negoziate) </w:t>
            </w:r>
          </w:p>
        </w:tc>
        <w:tc>
          <w:tcPr>
            <w:tcW w:w="0" w:type="auto"/>
          </w:tcPr>
          <w:p w:rsidR="001A26AF" w:rsidRPr="008963BF" w:rsidRDefault="00FC6773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Eccessivo </w:t>
            </w:r>
            <w:r w:rsidR="001A26AF" w:rsidRPr="008963BF">
              <w:rPr>
                <w:sz w:val="22"/>
                <w:szCs w:val="22"/>
              </w:rPr>
              <w:t>ricorso a procedure non competitive</w:t>
            </w:r>
            <w:r w:rsidRPr="008963BF">
              <w:rPr>
                <w:sz w:val="22"/>
                <w:szCs w:val="22"/>
              </w:rPr>
              <w:t xml:space="preserve"> che non garantiscono i principi di economicità, concorrenzialità e di trasparenza in quanto gli operatori</w:t>
            </w:r>
            <w:r w:rsidR="00D905B9" w:rsidRPr="008963BF">
              <w:rPr>
                <w:sz w:val="22"/>
                <w:szCs w:val="22"/>
              </w:rPr>
              <w:t xml:space="preserve"> economici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 xml:space="preserve">sono scelti discrezionalmente dal Dirigente o dal RUP </w:t>
            </w:r>
          </w:p>
        </w:tc>
        <w:tc>
          <w:tcPr>
            <w:tcW w:w="0" w:type="auto"/>
          </w:tcPr>
          <w:p w:rsidR="001A26AF" w:rsidRPr="008963BF" w:rsidRDefault="00010E64" w:rsidP="00FC6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Fiducia</w:t>
            </w:r>
            <w:r w:rsidR="00D022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</w:t>
            </w:r>
            <w:r w:rsidR="00D022F7">
              <w:rPr>
                <w:sz w:val="22"/>
                <w:szCs w:val="22"/>
              </w:rPr>
              <w:t xml:space="preserve">gli operatori economici conosciuti e sfiducia in quelli non conosciuti </w:t>
            </w:r>
          </w:p>
        </w:tc>
        <w:tc>
          <w:tcPr>
            <w:tcW w:w="0" w:type="auto"/>
            <w:shd w:val="clear" w:color="auto" w:fill="FF0000"/>
          </w:tcPr>
          <w:p w:rsidR="001A26AF" w:rsidRPr="008963BF" w:rsidRDefault="00521461" w:rsidP="0011261A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Dall’esame del valore dell’indicatore, determinato sulla bas</w:t>
            </w:r>
            <w:r w:rsidR="00DA364B">
              <w:rPr>
                <w:sz w:val="22"/>
                <w:szCs w:val="22"/>
              </w:rPr>
              <w:t>e dei dati forniti dai</w:t>
            </w:r>
            <w:r w:rsidR="00477688">
              <w:rPr>
                <w:sz w:val="22"/>
                <w:szCs w:val="22"/>
              </w:rPr>
              <w:t xml:space="preserve"> </w:t>
            </w:r>
            <w:r w:rsidR="00DA364B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</w:t>
            </w:r>
            <w:r w:rsidR="00DA364B">
              <w:rPr>
                <w:sz w:val="22"/>
                <w:szCs w:val="22"/>
              </w:rPr>
              <w:t>nsabili</w:t>
            </w:r>
            <w:r w:rsidR="00477688">
              <w:rPr>
                <w:sz w:val="22"/>
                <w:szCs w:val="22"/>
              </w:rPr>
              <w:t xml:space="preserve"> </w:t>
            </w:r>
            <w:r w:rsidR="00DA364B">
              <w:rPr>
                <w:sz w:val="22"/>
                <w:szCs w:val="22"/>
              </w:rPr>
              <w:t>di Settore</w:t>
            </w:r>
            <w:r w:rsidR="004D1FDA" w:rsidRPr="008963BF">
              <w:rPr>
                <w:sz w:val="22"/>
                <w:szCs w:val="22"/>
              </w:rPr>
              <w:t>,</w:t>
            </w:r>
            <w:r w:rsidR="00D905B9" w:rsidRPr="008963BF">
              <w:rPr>
                <w:sz w:val="22"/>
                <w:szCs w:val="22"/>
              </w:rPr>
              <w:t xml:space="preserve"> è risultato (come meglio eviden</w:t>
            </w:r>
            <w:r w:rsidR="00B65FEE">
              <w:rPr>
                <w:sz w:val="22"/>
                <w:szCs w:val="22"/>
              </w:rPr>
              <w:t>-</w:t>
            </w:r>
            <w:r w:rsidR="00D905B9" w:rsidRPr="008963BF">
              <w:rPr>
                <w:sz w:val="22"/>
                <w:szCs w:val="22"/>
              </w:rPr>
              <w:t xml:space="preserve">ziato </w:t>
            </w:r>
            <w:r w:rsidR="00DA364B">
              <w:rPr>
                <w:sz w:val="22"/>
                <w:szCs w:val="22"/>
              </w:rPr>
              <w:t>nella tabella B</w:t>
            </w:r>
            <w:r w:rsidR="00ED0108">
              <w:rPr>
                <w:sz w:val="22"/>
                <w:szCs w:val="22"/>
              </w:rPr>
              <w:t>) che per tutti i Settori</w:t>
            </w:r>
            <w:r w:rsidR="00477688">
              <w:rPr>
                <w:sz w:val="22"/>
                <w:szCs w:val="22"/>
              </w:rPr>
              <w:t xml:space="preserve"> </w:t>
            </w:r>
            <w:r w:rsidR="00D905B9" w:rsidRPr="008963BF">
              <w:rPr>
                <w:sz w:val="22"/>
                <w:szCs w:val="22"/>
              </w:rPr>
              <w:t>il ricorso alle procedure negoziate senza previo avviso di indagi</w:t>
            </w:r>
            <w:r w:rsidR="00CF043A">
              <w:rPr>
                <w:sz w:val="22"/>
                <w:szCs w:val="22"/>
              </w:rPr>
              <w:t xml:space="preserve">ne di mercato è risultato </w:t>
            </w:r>
            <w:r w:rsidR="00683ACE">
              <w:rPr>
                <w:sz w:val="22"/>
                <w:szCs w:val="22"/>
              </w:rPr>
              <w:t xml:space="preserve">assai </w:t>
            </w:r>
            <w:r w:rsidR="007161EE">
              <w:rPr>
                <w:sz w:val="22"/>
                <w:szCs w:val="22"/>
              </w:rPr>
              <w:t>significativo</w:t>
            </w:r>
            <w:r w:rsidR="00542B69">
              <w:rPr>
                <w:sz w:val="22"/>
                <w:szCs w:val="22"/>
              </w:rPr>
              <w:t>, con un valore totale dell’</w:t>
            </w:r>
            <w:r w:rsidR="00D66357">
              <w:rPr>
                <w:sz w:val="22"/>
                <w:szCs w:val="22"/>
              </w:rPr>
              <w:t xml:space="preserve"> </w:t>
            </w:r>
            <w:r w:rsidR="00542B69">
              <w:rPr>
                <w:sz w:val="22"/>
                <w:szCs w:val="22"/>
              </w:rPr>
              <w:t>indicatore pari a 0,89.</w:t>
            </w:r>
            <w:r w:rsidR="00D905B9" w:rsidRPr="008963BF">
              <w:rPr>
                <w:sz w:val="22"/>
                <w:szCs w:val="22"/>
              </w:rPr>
              <w:t xml:space="preserve"> Pertanto il rischio di un eccessivo uso</w:t>
            </w:r>
            <w:r w:rsidR="00477688">
              <w:rPr>
                <w:sz w:val="22"/>
                <w:szCs w:val="22"/>
              </w:rPr>
              <w:t xml:space="preserve"> </w:t>
            </w:r>
            <w:r w:rsidR="00D905B9" w:rsidRPr="008963BF">
              <w:rPr>
                <w:sz w:val="22"/>
                <w:szCs w:val="22"/>
              </w:rPr>
              <w:t xml:space="preserve">di </w:t>
            </w:r>
            <w:r w:rsidR="00A27CDF">
              <w:rPr>
                <w:sz w:val="22"/>
                <w:szCs w:val="22"/>
              </w:rPr>
              <w:t>procedure non competitive è ALTO</w:t>
            </w:r>
            <w:r w:rsidR="00D905B9" w:rsidRPr="008963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1A26AF" w:rsidRPr="008963BF" w:rsidRDefault="005F2204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Si evidenzia</w:t>
            </w:r>
            <w:r w:rsidR="00D06569" w:rsidRPr="008963BF">
              <w:rPr>
                <w:sz w:val="22"/>
                <w:szCs w:val="22"/>
              </w:rPr>
              <w:t xml:space="preserve"> che l’indicatore è stato determinato prendendo a riferimento le procedur</w:t>
            </w:r>
            <w:r w:rsidRPr="008963BF">
              <w:rPr>
                <w:sz w:val="22"/>
                <w:szCs w:val="22"/>
              </w:rPr>
              <w:t>e effettuate nel biennio 2015-2016.</w:t>
            </w:r>
            <w:r w:rsidR="00D06569" w:rsidRPr="008963BF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Per il primo anno e per parte del secondo le procedure si sono svolte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in vigenza del precedente</w:t>
            </w:r>
            <w:r w:rsidR="00337D83" w:rsidRPr="008963BF">
              <w:rPr>
                <w:sz w:val="22"/>
                <w:szCs w:val="22"/>
              </w:rPr>
              <w:t xml:space="preserve"> Codice dei contratti pubblic</w:t>
            </w:r>
            <w:r w:rsidR="00553C08" w:rsidRPr="008963BF">
              <w:rPr>
                <w:sz w:val="22"/>
                <w:szCs w:val="22"/>
              </w:rPr>
              <w:t>i.</w:t>
            </w:r>
          </w:p>
          <w:p w:rsidR="00D06569" w:rsidRPr="008963BF" w:rsidRDefault="00D06569" w:rsidP="00553C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Con il nuovo codice (d.lgs. 50/2016)</w:t>
            </w:r>
            <w:r w:rsidR="00553C08" w:rsidRPr="008963BF">
              <w:rPr>
                <w:sz w:val="22"/>
                <w:szCs w:val="22"/>
              </w:rPr>
              <w:t>,</w:t>
            </w:r>
            <w:r w:rsidR="004756C6">
              <w:rPr>
                <w:sz w:val="22"/>
                <w:szCs w:val="22"/>
              </w:rPr>
              <w:t xml:space="preserve"> entrato in vigore in data 20/04/2016</w:t>
            </w:r>
            <w:r w:rsidR="00553C08" w:rsidRPr="008963BF">
              <w:rPr>
                <w:sz w:val="22"/>
                <w:szCs w:val="22"/>
              </w:rPr>
              <w:t>,</w:t>
            </w:r>
            <w:r w:rsidR="004756C6">
              <w:rPr>
                <w:sz w:val="22"/>
                <w:szCs w:val="22"/>
              </w:rPr>
              <w:t xml:space="preserve"> e </w:t>
            </w:r>
            <w:r w:rsidR="00D022F7">
              <w:rPr>
                <w:sz w:val="22"/>
                <w:szCs w:val="22"/>
              </w:rPr>
              <w:t xml:space="preserve">le </w:t>
            </w:r>
            <w:r w:rsidR="004756C6">
              <w:rPr>
                <w:sz w:val="22"/>
                <w:szCs w:val="22"/>
              </w:rPr>
              <w:t>linee guida dell’</w:t>
            </w:r>
            <w:r w:rsidR="004756C6" w:rsidRPr="008963BF">
              <w:rPr>
                <w:sz w:val="22"/>
                <w:szCs w:val="22"/>
              </w:rPr>
              <w:t>ANAC n. 4, approvate con deliberazione della stessa ANAC n. 1097 del 26/10/2016</w:t>
            </w:r>
            <w:r w:rsidR="004756C6">
              <w:rPr>
                <w:sz w:val="22"/>
                <w:szCs w:val="22"/>
              </w:rPr>
              <w:t xml:space="preserve">, </w:t>
            </w:r>
            <w:r w:rsidR="00553C08" w:rsidRPr="008963BF">
              <w:rPr>
                <w:sz w:val="22"/>
                <w:szCs w:val="22"/>
              </w:rPr>
              <w:t xml:space="preserve">le procedure negoziate sono </w:t>
            </w:r>
            <w:r w:rsidR="00337D83" w:rsidRPr="008963BF">
              <w:rPr>
                <w:sz w:val="22"/>
                <w:szCs w:val="22"/>
              </w:rPr>
              <w:t>s</w:t>
            </w:r>
            <w:r w:rsidR="00553C08" w:rsidRPr="008963BF">
              <w:rPr>
                <w:sz w:val="22"/>
                <w:szCs w:val="22"/>
              </w:rPr>
              <w:t xml:space="preserve">tate disciplinate diversamente. Ora, </w:t>
            </w:r>
            <w:r w:rsidR="00337D83" w:rsidRPr="008963BF">
              <w:rPr>
                <w:sz w:val="22"/>
                <w:szCs w:val="22"/>
              </w:rPr>
              <w:t xml:space="preserve">sopra la soglia di € 40.000 è obbligatorio ricorrere </w:t>
            </w:r>
            <w:r w:rsidR="00553C08" w:rsidRPr="008963BF">
              <w:rPr>
                <w:sz w:val="22"/>
                <w:szCs w:val="22"/>
              </w:rPr>
              <w:t>alla indagine di mercato per individuare gli operatori da invitare.</w:t>
            </w:r>
          </w:p>
          <w:p w:rsidR="00553C08" w:rsidRDefault="004756C6" w:rsidP="0055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Pertanto</w:t>
            </w:r>
            <w:r w:rsidR="00D022F7">
              <w:rPr>
                <w:sz w:val="22"/>
                <w:szCs w:val="22"/>
              </w:rPr>
              <w:t>, con l’entrata in vigore del</w:t>
            </w:r>
            <w:r w:rsidR="00477688">
              <w:rPr>
                <w:sz w:val="22"/>
                <w:szCs w:val="22"/>
              </w:rPr>
              <w:t xml:space="preserve"> </w:t>
            </w:r>
            <w:r w:rsidR="00D022F7">
              <w:rPr>
                <w:sz w:val="22"/>
                <w:szCs w:val="22"/>
              </w:rPr>
              <w:t>nuovo Codice, il rischio si è</w:t>
            </w:r>
            <w:r w:rsidR="00ED65AA">
              <w:rPr>
                <w:sz w:val="22"/>
                <w:szCs w:val="22"/>
              </w:rPr>
              <w:t xml:space="preserve"> in parte</w:t>
            </w:r>
            <w:r w:rsidR="00477688">
              <w:rPr>
                <w:sz w:val="22"/>
                <w:szCs w:val="22"/>
              </w:rPr>
              <w:t xml:space="preserve"> </w:t>
            </w:r>
            <w:r w:rsidR="00D022F7">
              <w:rPr>
                <w:sz w:val="22"/>
                <w:szCs w:val="22"/>
              </w:rPr>
              <w:t xml:space="preserve">attenuato. </w:t>
            </w:r>
          </w:p>
          <w:p w:rsidR="00CF043A" w:rsidRPr="008963BF" w:rsidRDefault="00CF043A" w:rsidP="0055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ritiene comunque necessario trattare il rischio con particolare riferimento alle procedure di gara sotto € 40.000,00.</w:t>
            </w:r>
          </w:p>
        </w:tc>
        <w:tc>
          <w:tcPr>
            <w:tcW w:w="0" w:type="auto"/>
          </w:tcPr>
          <w:p w:rsidR="001A26AF" w:rsidRPr="008963BF" w:rsidRDefault="00D06569" w:rsidP="0011261A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Come misura per il trattamento del rischio</w:t>
            </w:r>
            <w:r w:rsidR="00553C08" w:rsidRPr="008963BF">
              <w:rPr>
                <w:sz w:val="22"/>
                <w:szCs w:val="22"/>
              </w:rPr>
              <w:t xml:space="preserve">, </w:t>
            </w:r>
            <w:r w:rsidR="008476AD">
              <w:rPr>
                <w:sz w:val="22"/>
                <w:szCs w:val="22"/>
              </w:rPr>
              <w:t xml:space="preserve">viene individuata quella del </w:t>
            </w:r>
            <w:r w:rsidRPr="008963BF">
              <w:rPr>
                <w:sz w:val="22"/>
                <w:szCs w:val="22"/>
              </w:rPr>
              <w:t xml:space="preserve">regolamento </w:t>
            </w:r>
            <w:r w:rsidR="006A4208">
              <w:rPr>
                <w:sz w:val="22"/>
                <w:szCs w:val="22"/>
              </w:rPr>
              <w:t>suggerito</w:t>
            </w:r>
            <w:r w:rsidRPr="008963BF">
              <w:rPr>
                <w:sz w:val="22"/>
                <w:szCs w:val="22"/>
              </w:rPr>
              <w:t xml:space="preserve"> d</w:t>
            </w:r>
            <w:r w:rsidR="00553C08" w:rsidRPr="008963BF">
              <w:rPr>
                <w:sz w:val="22"/>
                <w:szCs w:val="22"/>
              </w:rPr>
              <w:t>a</w:t>
            </w:r>
            <w:r w:rsidR="000255F8" w:rsidRPr="008963BF">
              <w:rPr>
                <w:sz w:val="22"/>
                <w:szCs w:val="22"/>
              </w:rPr>
              <w:t xml:space="preserve">lle linee guida ANAC n. 4, approvate con deliberazione della stessa ANAC n. </w:t>
            </w:r>
            <w:r w:rsidR="005C210A" w:rsidRPr="008963BF">
              <w:rPr>
                <w:sz w:val="22"/>
                <w:szCs w:val="22"/>
              </w:rPr>
              <w:t xml:space="preserve">1097 </w:t>
            </w:r>
            <w:r w:rsidR="00553C08" w:rsidRPr="008963BF">
              <w:rPr>
                <w:sz w:val="22"/>
                <w:szCs w:val="22"/>
              </w:rPr>
              <w:t>de</w:t>
            </w:r>
            <w:r w:rsidR="005C210A" w:rsidRPr="008963BF">
              <w:rPr>
                <w:sz w:val="22"/>
                <w:szCs w:val="22"/>
              </w:rPr>
              <w:t xml:space="preserve">l 26/10/2016 </w:t>
            </w:r>
            <w:r w:rsidR="00553C08" w:rsidRPr="008963BF">
              <w:rPr>
                <w:sz w:val="22"/>
                <w:szCs w:val="22"/>
              </w:rPr>
              <w:t xml:space="preserve">per lo svolgimento delle procedure </w:t>
            </w:r>
            <w:r w:rsidR="005C210A" w:rsidRPr="008963BF">
              <w:rPr>
                <w:sz w:val="22"/>
                <w:szCs w:val="22"/>
              </w:rPr>
              <w:t>relative ai contratti pubblici di importo inferiore alle soglie di rilevanza comunitaria</w:t>
            </w:r>
            <w:r w:rsidR="00415F86">
              <w:rPr>
                <w:sz w:val="22"/>
                <w:szCs w:val="22"/>
              </w:rPr>
              <w:t>,</w:t>
            </w:r>
            <w:r w:rsidR="005C210A" w:rsidRPr="008963BF">
              <w:rPr>
                <w:sz w:val="22"/>
                <w:szCs w:val="22"/>
              </w:rPr>
              <w:t xml:space="preserve"> comprese le procedure </w:t>
            </w:r>
            <w:r w:rsidR="00553C08" w:rsidRPr="008963BF">
              <w:rPr>
                <w:sz w:val="22"/>
                <w:szCs w:val="22"/>
              </w:rPr>
              <w:t>negoziate di cui all’art. 36 del d.lgs. n. 50/2016</w:t>
            </w:r>
            <w:r w:rsidR="00477688">
              <w:rPr>
                <w:sz w:val="22"/>
                <w:szCs w:val="22"/>
              </w:rPr>
              <w:t xml:space="preserve"> </w:t>
            </w:r>
            <w:r w:rsidR="00553C08" w:rsidRPr="008963BF">
              <w:rPr>
                <w:sz w:val="22"/>
                <w:szCs w:val="22"/>
              </w:rPr>
              <w:t xml:space="preserve">e prevedere </w:t>
            </w:r>
            <w:r w:rsidR="00ED65AA">
              <w:rPr>
                <w:sz w:val="22"/>
                <w:szCs w:val="22"/>
              </w:rPr>
              <w:t xml:space="preserve">in esso norme </w:t>
            </w:r>
            <w:r w:rsidR="00ED0108">
              <w:rPr>
                <w:sz w:val="22"/>
                <w:szCs w:val="22"/>
              </w:rPr>
              <w:t xml:space="preserve">che, per </w:t>
            </w:r>
            <w:r w:rsidR="00683ACE">
              <w:rPr>
                <w:sz w:val="22"/>
                <w:szCs w:val="22"/>
              </w:rPr>
              <w:t>forniture, servizi e lavori d</w:t>
            </w:r>
            <w:r w:rsidR="00553C08" w:rsidRPr="008963BF">
              <w:rPr>
                <w:sz w:val="22"/>
                <w:szCs w:val="22"/>
              </w:rPr>
              <w:t>’i</w:t>
            </w:r>
            <w:r w:rsidR="00951639" w:rsidRPr="008963BF">
              <w:rPr>
                <w:sz w:val="22"/>
                <w:szCs w:val="22"/>
              </w:rPr>
              <w:t>mporto inferiore</w:t>
            </w:r>
            <w:r w:rsidR="00D66357">
              <w:rPr>
                <w:sz w:val="22"/>
                <w:szCs w:val="22"/>
              </w:rPr>
              <w:t xml:space="preserve"> ad € </w:t>
            </w:r>
            <w:r w:rsidR="00683ACE">
              <w:rPr>
                <w:sz w:val="22"/>
                <w:szCs w:val="22"/>
              </w:rPr>
              <w:t>40.000,00, stabiliscano modalità differenziate di affidamento in relazione al valore</w:t>
            </w:r>
            <w:r w:rsidR="00203987">
              <w:rPr>
                <w:sz w:val="22"/>
                <w:szCs w:val="22"/>
              </w:rPr>
              <w:t xml:space="preserve">, secondo le indicazioni fornite dall’ANAC nelle linee-guida sopra citate e comunque nel rispetto dell’onere motivazionale relativo alla osservanza dei principi dell’art. 30 del </w:t>
            </w:r>
            <w:proofErr w:type="spellStart"/>
            <w:r w:rsidR="00203987">
              <w:rPr>
                <w:sz w:val="22"/>
                <w:szCs w:val="22"/>
              </w:rPr>
              <w:t>D.Lgs.</w:t>
            </w:r>
            <w:proofErr w:type="spellEnd"/>
            <w:r w:rsidR="00203987">
              <w:rPr>
                <w:sz w:val="22"/>
                <w:szCs w:val="22"/>
              </w:rPr>
              <w:t xml:space="preserve"> </w:t>
            </w:r>
            <w:proofErr w:type="spellStart"/>
            <w:r w:rsidR="00203987">
              <w:rPr>
                <w:sz w:val="22"/>
                <w:szCs w:val="22"/>
              </w:rPr>
              <w:t>n°</w:t>
            </w:r>
            <w:proofErr w:type="spellEnd"/>
            <w:r w:rsidR="00203987">
              <w:rPr>
                <w:sz w:val="22"/>
                <w:szCs w:val="22"/>
              </w:rPr>
              <w:t xml:space="preserve"> 50/2016 e del principio di rotazione.</w:t>
            </w:r>
          </w:p>
        </w:tc>
      </w:tr>
      <w:tr w:rsidR="00893891" w:rsidRPr="008963BF" w:rsidTr="00D66357">
        <w:tc>
          <w:tcPr>
            <w:tcW w:w="0" w:type="auto"/>
            <w:vMerge w:val="restart"/>
          </w:tcPr>
          <w:p w:rsidR="006F1AEF" w:rsidRPr="008963BF" w:rsidRDefault="006F1AE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3. selezione del contraente </w:t>
            </w:r>
          </w:p>
        </w:tc>
        <w:tc>
          <w:tcPr>
            <w:tcW w:w="0" w:type="auto"/>
          </w:tcPr>
          <w:p w:rsidR="006F1AEF" w:rsidRPr="008963BF" w:rsidRDefault="006F1AEF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Numero delle procedure di gara avviate nel biennio 2015-2016 per le quali è pervenuta una sola offerta</w:t>
            </w:r>
            <w:r w:rsidR="00D228E6" w:rsidRPr="008963BF">
              <w:rPr>
                <w:b/>
                <w:sz w:val="22"/>
                <w:szCs w:val="22"/>
              </w:rPr>
              <w:t xml:space="preserve"> </w:t>
            </w:r>
            <w:r w:rsidR="00D228E6" w:rsidRPr="00ED0108">
              <w:rPr>
                <w:sz w:val="22"/>
                <w:szCs w:val="22"/>
              </w:rPr>
              <w:t>rapportato</w:t>
            </w:r>
            <w:r w:rsidR="00D228E6" w:rsidRPr="008963BF">
              <w:rPr>
                <w:sz w:val="22"/>
                <w:szCs w:val="22"/>
              </w:rPr>
              <w:t xml:space="preserve"> al </w:t>
            </w:r>
            <w:r w:rsidR="00ED0108">
              <w:rPr>
                <w:sz w:val="22"/>
                <w:szCs w:val="22"/>
              </w:rPr>
              <w:t>n</w:t>
            </w:r>
            <w:r w:rsidRPr="008963BF">
              <w:rPr>
                <w:sz w:val="22"/>
                <w:szCs w:val="22"/>
              </w:rPr>
              <w:t>umero totale delle procedure di gara avviate nel biennio 2015/2016</w:t>
            </w:r>
          </w:p>
        </w:tc>
        <w:tc>
          <w:tcPr>
            <w:tcW w:w="0" w:type="auto"/>
          </w:tcPr>
          <w:p w:rsidR="006F1AEF" w:rsidRPr="008963BF" w:rsidRDefault="006F1AEF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Al numeratore va indicato il numero di procedure di gara avviate nel biennio 2015/</w:t>
            </w:r>
            <w:r w:rsidR="003E20E3" w:rsidRPr="008963BF">
              <w:rPr>
                <w:sz w:val="22"/>
                <w:szCs w:val="22"/>
              </w:rPr>
              <w:t>2016 per le quali è pervenuta un’offerta da parte di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 xml:space="preserve">un solo operatore economico. </w:t>
            </w:r>
          </w:p>
          <w:p w:rsidR="006F1AEF" w:rsidRPr="008963BF" w:rsidRDefault="006F1AEF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Al denominatore va indicato il numero totale di procedure di gara avviate nel biennio suddetto. </w:t>
            </w:r>
          </w:p>
          <w:p w:rsidR="003E20E3" w:rsidRPr="008963BF" w:rsidRDefault="006F1AEF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Per procedure di gara si </w:t>
            </w:r>
            <w:r w:rsidRPr="008963BF">
              <w:rPr>
                <w:sz w:val="22"/>
                <w:szCs w:val="22"/>
              </w:rPr>
              <w:lastRenderedPageBreak/>
              <w:t>intendono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tutte le procedure</w:t>
            </w:r>
            <w:r w:rsidR="003E20E3" w:rsidRPr="008963BF">
              <w:rPr>
                <w:sz w:val="22"/>
                <w:szCs w:val="22"/>
              </w:rPr>
              <w:t xml:space="preserve"> nelle quali vi sia stato un minimo di confronto competitivo tra più operatori economici.</w:t>
            </w:r>
          </w:p>
          <w:p w:rsidR="006F1AEF" w:rsidRPr="008963BF" w:rsidRDefault="006F1AEF" w:rsidP="003E20E3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6F1AEF" w:rsidRPr="008963BF" w:rsidRDefault="006F1AEF" w:rsidP="003E20E3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lastRenderedPageBreak/>
              <w:t xml:space="preserve">L’indicatore </w:t>
            </w:r>
            <w:r w:rsidR="00AD18AF">
              <w:rPr>
                <w:sz w:val="22"/>
                <w:szCs w:val="22"/>
              </w:rPr>
              <w:t>ha lo scopo di evidenziare</w:t>
            </w:r>
            <w:r w:rsidR="00AD18AF" w:rsidRPr="008963BF">
              <w:rPr>
                <w:sz w:val="22"/>
                <w:szCs w:val="22"/>
              </w:rPr>
              <w:t xml:space="preserve"> </w:t>
            </w:r>
            <w:r w:rsidR="003E20E3" w:rsidRPr="008963BF">
              <w:rPr>
                <w:sz w:val="22"/>
                <w:szCs w:val="22"/>
              </w:rPr>
              <w:t xml:space="preserve">con quanta </w:t>
            </w:r>
            <w:r w:rsidR="004A2C69" w:rsidRPr="008963BF">
              <w:rPr>
                <w:sz w:val="22"/>
                <w:szCs w:val="22"/>
              </w:rPr>
              <w:t>frequenza</w:t>
            </w:r>
            <w:r w:rsidR="005F6A92">
              <w:rPr>
                <w:sz w:val="22"/>
                <w:szCs w:val="22"/>
              </w:rPr>
              <w:t xml:space="preserve"> nelle procedure di gara</w:t>
            </w:r>
            <w:r w:rsidR="003E20E3" w:rsidRPr="008963BF">
              <w:rPr>
                <w:sz w:val="22"/>
                <w:szCs w:val="22"/>
              </w:rPr>
              <w:t xml:space="preserve"> ha </w:t>
            </w:r>
            <w:r w:rsidR="00431B79">
              <w:rPr>
                <w:sz w:val="22"/>
                <w:szCs w:val="22"/>
              </w:rPr>
              <w:t>presentato offerta</w:t>
            </w:r>
            <w:r w:rsidR="003E20E3" w:rsidRPr="008963BF">
              <w:rPr>
                <w:sz w:val="22"/>
                <w:szCs w:val="22"/>
              </w:rPr>
              <w:t xml:space="preserve"> un solo operatore economico</w:t>
            </w:r>
            <w:r w:rsidR="004A2C69" w:rsidRPr="008963B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6F1AEF" w:rsidRPr="008963BF" w:rsidRDefault="00263E45" w:rsidP="00263E45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L’anomalia interessa i seguenti processi: </w:t>
            </w:r>
          </w:p>
          <w:p w:rsidR="00263E45" w:rsidRPr="008963BF" w:rsidRDefault="00D66357" w:rsidP="00D66357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63E45" w:rsidRPr="008963BF">
              <w:rPr>
                <w:sz w:val="22"/>
                <w:szCs w:val="22"/>
              </w:rPr>
              <w:t xml:space="preserve">Pubblicazione del bando e gestione informazioni complementari; </w:t>
            </w:r>
          </w:p>
          <w:p w:rsidR="00263E45" w:rsidRPr="008963BF" w:rsidRDefault="00263E45" w:rsidP="00D66357">
            <w:pPr>
              <w:ind w:left="-19" w:hanging="135"/>
              <w:rPr>
                <w:sz w:val="22"/>
                <w:szCs w:val="22"/>
              </w:rPr>
            </w:pPr>
          </w:p>
          <w:p w:rsidR="00D228E6" w:rsidRPr="008963BF" w:rsidRDefault="00D228E6" w:rsidP="00D66357">
            <w:pPr>
              <w:ind w:left="-19" w:hanging="135"/>
              <w:rPr>
                <w:sz w:val="22"/>
                <w:szCs w:val="22"/>
              </w:rPr>
            </w:pPr>
          </w:p>
          <w:p w:rsidR="00263E45" w:rsidRPr="008963BF" w:rsidRDefault="00D66357" w:rsidP="00D66357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228E6" w:rsidRPr="008963BF">
              <w:rPr>
                <w:sz w:val="22"/>
                <w:szCs w:val="22"/>
              </w:rPr>
              <w:t xml:space="preserve">Fissazione dei termini per la ricezione delle offerte </w:t>
            </w:r>
          </w:p>
        </w:tc>
        <w:tc>
          <w:tcPr>
            <w:tcW w:w="0" w:type="auto"/>
          </w:tcPr>
          <w:p w:rsidR="006F1AEF" w:rsidRDefault="004A2C69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I</w:t>
            </w:r>
            <w:r w:rsidR="009A21DC">
              <w:rPr>
                <w:sz w:val="22"/>
                <w:szCs w:val="22"/>
              </w:rPr>
              <w:t>l</w:t>
            </w:r>
            <w:r w:rsidRPr="008963BF">
              <w:rPr>
                <w:sz w:val="22"/>
                <w:szCs w:val="22"/>
              </w:rPr>
              <w:t xml:space="preserve"> possibil</w:t>
            </w:r>
            <w:r w:rsidR="009A21DC">
              <w:rPr>
                <w:sz w:val="22"/>
                <w:szCs w:val="22"/>
              </w:rPr>
              <w:t>e</w:t>
            </w:r>
            <w:r w:rsidRPr="008963BF">
              <w:rPr>
                <w:sz w:val="22"/>
                <w:szCs w:val="22"/>
              </w:rPr>
              <w:t xml:space="preserve"> event</w:t>
            </w:r>
            <w:r w:rsidR="009A21DC">
              <w:rPr>
                <w:sz w:val="22"/>
                <w:szCs w:val="22"/>
              </w:rPr>
              <w:t>o</w:t>
            </w:r>
            <w:r w:rsidRPr="008963BF">
              <w:rPr>
                <w:sz w:val="22"/>
                <w:szCs w:val="22"/>
              </w:rPr>
              <w:t xml:space="preserve"> rischios</w:t>
            </w:r>
            <w:r w:rsidR="009A21DC">
              <w:rPr>
                <w:sz w:val="22"/>
                <w:szCs w:val="22"/>
              </w:rPr>
              <w:t>o</w:t>
            </w:r>
            <w:r w:rsidRPr="008963BF">
              <w:rPr>
                <w:sz w:val="22"/>
                <w:szCs w:val="22"/>
              </w:rPr>
              <w:t xml:space="preserve"> </w:t>
            </w:r>
            <w:r w:rsidR="009A21DC">
              <w:rPr>
                <w:sz w:val="22"/>
                <w:szCs w:val="22"/>
              </w:rPr>
              <w:t>è</w:t>
            </w:r>
            <w:r w:rsidRPr="008963BF">
              <w:rPr>
                <w:sz w:val="22"/>
                <w:szCs w:val="22"/>
              </w:rPr>
              <w:t xml:space="preserve"> i</w:t>
            </w:r>
            <w:r w:rsidR="009A21DC">
              <w:rPr>
                <w:sz w:val="22"/>
                <w:szCs w:val="22"/>
              </w:rPr>
              <w:t>l</w:t>
            </w:r>
            <w:r w:rsidRPr="008963BF">
              <w:rPr>
                <w:sz w:val="22"/>
                <w:szCs w:val="22"/>
              </w:rPr>
              <w:t xml:space="preserve"> seguent</w:t>
            </w:r>
            <w:r w:rsidR="009A21DC">
              <w:rPr>
                <w:sz w:val="22"/>
                <w:szCs w:val="22"/>
              </w:rPr>
              <w:t>e</w:t>
            </w:r>
            <w:r w:rsidRPr="008963BF">
              <w:rPr>
                <w:sz w:val="22"/>
                <w:szCs w:val="22"/>
              </w:rPr>
              <w:t>:</w:t>
            </w:r>
          </w:p>
          <w:p w:rsidR="009A21DC" w:rsidRDefault="009A21DC" w:rsidP="000E6108">
            <w:pPr>
              <w:rPr>
                <w:sz w:val="22"/>
                <w:szCs w:val="22"/>
              </w:rPr>
            </w:pPr>
          </w:p>
          <w:p w:rsidR="009A21DC" w:rsidRPr="008963BF" w:rsidRDefault="009A21DC" w:rsidP="000E6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la partecipazione</w:t>
            </w:r>
            <w:r w:rsidRPr="008963BF">
              <w:rPr>
                <w:sz w:val="22"/>
                <w:szCs w:val="22"/>
              </w:rPr>
              <w:t xml:space="preserve"> di un solo operatore economico</w:t>
            </w:r>
            <w:r>
              <w:rPr>
                <w:sz w:val="22"/>
                <w:szCs w:val="22"/>
              </w:rPr>
              <w:t xml:space="preserve"> mediante:</w:t>
            </w:r>
          </w:p>
          <w:p w:rsidR="00D228E6" w:rsidRPr="008963BF" w:rsidRDefault="00D66357" w:rsidP="00D66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228E6" w:rsidRPr="008963BF">
              <w:rPr>
                <w:sz w:val="22"/>
                <w:szCs w:val="22"/>
              </w:rPr>
              <w:t>Pubblicazione del bando in sezioni del sito del Comune non facilmente accessibili</w:t>
            </w:r>
            <w:r w:rsidR="00F13740" w:rsidRPr="008963BF">
              <w:rPr>
                <w:sz w:val="22"/>
                <w:szCs w:val="22"/>
              </w:rPr>
              <w:t xml:space="preserve"> e/o con informazioni incomplete</w:t>
            </w:r>
            <w:r w:rsidR="00D228E6" w:rsidRPr="008963BF">
              <w:rPr>
                <w:sz w:val="22"/>
                <w:szCs w:val="22"/>
              </w:rPr>
              <w:t>;</w:t>
            </w:r>
          </w:p>
          <w:p w:rsidR="00D228E6" w:rsidRPr="008963BF" w:rsidRDefault="00D228E6" w:rsidP="00D66357">
            <w:pPr>
              <w:rPr>
                <w:sz w:val="22"/>
                <w:szCs w:val="22"/>
              </w:rPr>
            </w:pPr>
          </w:p>
          <w:p w:rsidR="00D228E6" w:rsidRPr="008963BF" w:rsidRDefault="00D66357" w:rsidP="00D66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228E6" w:rsidRPr="008963BF">
              <w:rPr>
                <w:sz w:val="22"/>
                <w:szCs w:val="22"/>
              </w:rPr>
              <w:t xml:space="preserve">Fissazione di termini brevi per favorire la partecipazione da parte di una sola impresa </w:t>
            </w:r>
            <w:r w:rsidR="006E2937" w:rsidRPr="008963BF">
              <w:rPr>
                <w:sz w:val="22"/>
                <w:szCs w:val="22"/>
              </w:rPr>
              <w:t>nel caso di procedure negoziate</w:t>
            </w:r>
          </w:p>
        </w:tc>
        <w:tc>
          <w:tcPr>
            <w:tcW w:w="0" w:type="auto"/>
          </w:tcPr>
          <w:p w:rsidR="006F1AEF" w:rsidRPr="008963BF" w:rsidRDefault="00D228E6" w:rsidP="00B65FE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lastRenderedPageBreak/>
              <w:t xml:space="preserve">Ingerenza di determinati operatori economici o di altri soggetti interni od esterni </w:t>
            </w:r>
            <w:r w:rsidR="004A2C69" w:rsidRPr="008963BF">
              <w:rPr>
                <w:sz w:val="22"/>
                <w:szCs w:val="22"/>
              </w:rPr>
              <w:t xml:space="preserve">nella </w:t>
            </w:r>
            <w:r w:rsidR="00F13740" w:rsidRPr="008963BF">
              <w:rPr>
                <w:sz w:val="22"/>
                <w:szCs w:val="22"/>
              </w:rPr>
              <w:t xml:space="preserve">scelta </w:t>
            </w:r>
            <w:r w:rsidR="004A2C69" w:rsidRPr="008963BF">
              <w:rPr>
                <w:sz w:val="22"/>
                <w:szCs w:val="22"/>
              </w:rPr>
              <w:t>de</w:t>
            </w:r>
            <w:r w:rsidR="00F13740" w:rsidRPr="008963BF">
              <w:rPr>
                <w:sz w:val="22"/>
                <w:szCs w:val="22"/>
              </w:rPr>
              <w:t>lle</w:t>
            </w:r>
            <w:r w:rsidRPr="008963BF">
              <w:rPr>
                <w:sz w:val="22"/>
                <w:szCs w:val="22"/>
              </w:rPr>
              <w:t xml:space="preserve"> modalità di pubblica</w:t>
            </w:r>
            <w:r w:rsidR="00B65FEE">
              <w:rPr>
                <w:sz w:val="22"/>
                <w:szCs w:val="22"/>
              </w:rPr>
              <w:t>-</w:t>
            </w:r>
            <w:r w:rsidRPr="008963BF">
              <w:rPr>
                <w:sz w:val="22"/>
                <w:szCs w:val="22"/>
              </w:rPr>
              <w:t>zione</w:t>
            </w:r>
            <w:r w:rsidR="004A2C69" w:rsidRPr="008963BF">
              <w:rPr>
                <w:sz w:val="22"/>
                <w:szCs w:val="22"/>
              </w:rPr>
              <w:t xml:space="preserve"> della procedura di gara</w:t>
            </w:r>
            <w:r w:rsidR="00F13740" w:rsidRPr="008963BF">
              <w:rPr>
                <w:sz w:val="22"/>
                <w:szCs w:val="22"/>
              </w:rPr>
              <w:t xml:space="preserve">, </w:t>
            </w:r>
            <w:r w:rsidR="00415F86">
              <w:rPr>
                <w:sz w:val="22"/>
                <w:szCs w:val="22"/>
              </w:rPr>
              <w:t>delle relative informazioni, nonché nell’individuazione dei</w:t>
            </w:r>
            <w:r w:rsidRPr="008963BF">
              <w:rPr>
                <w:sz w:val="22"/>
                <w:szCs w:val="22"/>
              </w:rPr>
              <w:t xml:space="preserve"> termini </w:t>
            </w:r>
            <w:r w:rsidR="00415F86">
              <w:rPr>
                <w:sz w:val="22"/>
                <w:szCs w:val="22"/>
              </w:rPr>
              <w:t>di ricezione delle offerte,</w:t>
            </w:r>
            <w:r w:rsidR="00F13740" w:rsidRPr="008963BF">
              <w:rPr>
                <w:sz w:val="22"/>
                <w:szCs w:val="22"/>
              </w:rPr>
              <w:t xml:space="preserve"> </w:t>
            </w:r>
            <w:r w:rsidR="004A2C69" w:rsidRPr="008963BF">
              <w:rPr>
                <w:sz w:val="22"/>
                <w:szCs w:val="22"/>
              </w:rPr>
              <w:t>al fine di</w:t>
            </w:r>
            <w:r w:rsidRPr="008963BF">
              <w:rPr>
                <w:sz w:val="22"/>
                <w:szCs w:val="22"/>
              </w:rPr>
              <w:t xml:space="preserve"> favorire un determinato operatore economic</w:t>
            </w:r>
            <w:r w:rsidR="00F13740" w:rsidRPr="008963BF">
              <w:rPr>
                <w:sz w:val="22"/>
                <w:szCs w:val="22"/>
              </w:rPr>
              <w:t>o</w:t>
            </w:r>
            <w:r w:rsidRPr="008963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92D050"/>
          </w:tcPr>
          <w:p w:rsidR="006F1AEF" w:rsidRPr="008963BF" w:rsidRDefault="00521461" w:rsidP="00477688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Dall’esame del valore dell’indicatore, determinato sulla bas</w:t>
            </w:r>
            <w:r w:rsidR="001570DB">
              <w:rPr>
                <w:sz w:val="22"/>
                <w:szCs w:val="22"/>
              </w:rPr>
              <w:t>e dei dati forniti dai</w:t>
            </w:r>
            <w:r w:rsidR="00477688">
              <w:rPr>
                <w:sz w:val="22"/>
                <w:szCs w:val="22"/>
              </w:rPr>
              <w:t xml:space="preserve"> </w:t>
            </w:r>
            <w:r w:rsidR="001570DB">
              <w:rPr>
                <w:sz w:val="22"/>
                <w:szCs w:val="22"/>
              </w:rPr>
              <w:t>Responsabili</w:t>
            </w:r>
            <w:r w:rsidR="00477688">
              <w:rPr>
                <w:sz w:val="22"/>
                <w:szCs w:val="22"/>
              </w:rPr>
              <w:t xml:space="preserve"> </w:t>
            </w:r>
            <w:r w:rsidR="001570DB">
              <w:rPr>
                <w:sz w:val="22"/>
                <w:szCs w:val="22"/>
              </w:rPr>
              <w:t>di Settore</w:t>
            </w:r>
            <w:r w:rsidR="004D1FDA" w:rsidRPr="008963BF">
              <w:rPr>
                <w:sz w:val="22"/>
                <w:szCs w:val="22"/>
              </w:rPr>
              <w:t>,</w:t>
            </w:r>
            <w:r w:rsidR="00F13740" w:rsidRPr="008963BF">
              <w:rPr>
                <w:sz w:val="22"/>
                <w:szCs w:val="22"/>
              </w:rPr>
              <w:t xml:space="preserve"> è risultato (come meglio evidenziato </w:t>
            </w:r>
            <w:r w:rsidR="00DA364B">
              <w:rPr>
                <w:sz w:val="22"/>
                <w:szCs w:val="22"/>
              </w:rPr>
              <w:t>nella tabella B</w:t>
            </w:r>
            <w:r w:rsidR="001570DB">
              <w:rPr>
                <w:sz w:val="22"/>
                <w:szCs w:val="22"/>
              </w:rPr>
              <w:t>) che la cifra percentuale è pari a 0,2 e quindi i</w:t>
            </w:r>
            <w:r w:rsidR="007A2E12">
              <w:rPr>
                <w:sz w:val="22"/>
                <w:szCs w:val="22"/>
              </w:rPr>
              <w:t>l rischio</w:t>
            </w:r>
            <w:r w:rsidR="00DB5179">
              <w:rPr>
                <w:sz w:val="22"/>
                <w:szCs w:val="22"/>
              </w:rPr>
              <w:t xml:space="preserve"> dell’evento </w:t>
            </w:r>
            <w:r w:rsidR="00F13740" w:rsidRPr="008963BF">
              <w:rPr>
                <w:sz w:val="22"/>
                <w:szCs w:val="22"/>
              </w:rPr>
              <w:t xml:space="preserve">è </w:t>
            </w:r>
            <w:r w:rsidR="007A2E12">
              <w:rPr>
                <w:sz w:val="22"/>
                <w:szCs w:val="22"/>
              </w:rPr>
              <w:t>di livello</w:t>
            </w:r>
            <w:r w:rsidR="00F13740" w:rsidRPr="008963BF">
              <w:rPr>
                <w:sz w:val="22"/>
                <w:szCs w:val="22"/>
              </w:rPr>
              <w:t xml:space="preserve"> </w:t>
            </w:r>
            <w:r w:rsidR="00DA364B">
              <w:rPr>
                <w:sz w:val="22"/>
                <w:szCs w:val="22"/>
              </w:rPr>
              <w:t>MEDIO-</w:t>
            </w:r>
            <w:r w:rsidR="00DB5179">
              <w:rPr>
                <w:sz w:val="22"/>
                <w:szCs w:val="22"/>
              </w:rPr>
              <w:t>BASSO</w:t>
            </w:r>
          </w:p>
        </w:tc>
        <w:tc>
          <w:tcPr>
            <w:tcW w:w="0" w:type="auto"/>
          </w:tcPr>
          <w:p w:rsidR="006F1AEF" w:rsidRPr="008963BF" w:rsidRDefault="00BA2BA6" w:rsidP="00477688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Considerato che la probabilità che si verifichi il rischio è risulta</w:t>
            </w:r>
            <w:r w:rsidR="00DA364B">
              <w:rPr>
                <w:sz w:val="22"/>
                <w:szCs w:val="22"/>
              </w:rPr>
              <w:t>ta medio-</w:t>
            </w:r>
            <w:r w:rsidR="00477688">
              <w:rPr>
                <w:sz w:val="22"/>
                <w:szCs w:val="22"/>
              </w:rPr>
              <w:t xml:space="preserve"> </w:t>
            </w:r>
            <w:r w:rsidR="00305388">
              <w:rPr>
                <w:sz w:val="22"/>
                <w:szCs w:val="22"/>
              </w:rPr>
              <w:t>bassa</w:t>
            </w:r>
            <w:r w:rsidR="00477688">
              <w:rPr>
                <w:sz w:val="22"/>
                <w:szCs w:val="22"/>
              </w:rPr>
              <w:t xml:space="preserve"> </w:t>
            </w:r>
            <w:r w:rsidR="00305388">
              <w:rPr>
                <w:sz w:val="22"/>
                <w:szCs w:val="22"/>
              </w:rPr>
              <w:t>e che comunque</w:t>
            </w:r>
            <w:r w:rsidR="00305388" w:rsidRPr="008963BF">
              <w:rPr>
                <w:sz w:val="22"/>
                <w:szCs w:val="22"/>
              </w:rPr>
              <w:t xml:space="preserve"> </w:t>
            </w:r>
            <w:r w:rsidR="00305388">
              <w:rPr>
                <w:sz w:val="22"/>
                <w:szCs w:val="22"/>
              </w:rPr>
              <w:t>l</w:t>
            </w:r>
            <w:r w:rsidR="00305388" w:rsidRPr="008963BF">
              <w:rPr>
                <w:sz w:val="22"/>
                <w:szCs w:val="22"/>
              </w:rPr>
              <w:t>a discrezionalità nella scelta della sezione del sito dove pubblicare i bandi è ridotta per effetto delle disposizioni previste dal d.lgs. 33/2013</w:t>
            </w:r>
            <w:r w:rsidR="00477688">
              <w:rPr>
                <w:sz w:val="22"/>
                <w:szCs w:val="22"/>
              </w:rPr>
              <w:t xml:space="preserve"> </w:t>
            </w:r>
            <w:r w:rsidR="00305388">
              <w:rPr>
                <w:sz w:val="22"/>
                <w:szCs w:val="22"/>
              </w:rPr>
              <w:t xml:space="preserve">e </w:t>
            </w:r>
            <w:proofErr w:type="spellStart"/>
            <w:r w:rsidR="00305388">
              <w:rPr>
                <w:sz w:val="22"/>
                <w:szCs w:val="22"/>
              </w:rPr>
              <w:t>s.m.i.</w:t>
            </w:r>
            <w:proofErr w:type="spellEnd"/>
            <w:r w:rsidR="00305388">
              <w:rPr>
                <w:sz w:val="22"/>
                <w:szCs w:val="22"/>
              </w:rPr>
              <w:t xml:space="preserve"> e dal d.lgs. 50/2016</w:t>
            </w:r>
            <w:r w:rsidR="00305388" w:rsidRPr="008963BF">
              <w:rPr>
                <w:sz w:val="22"/>
                <w:szCs w:val="22"/>
              </w:rPr>
              <w:t xml:space="preserve"> che obbligano a pubblicare i </w:t>
            </w:r>
            <w:r w:rsidR="00305388" w:rsidRPr="008963BF">
              <w:rPr>
                <w:sz w:val="22"/>
                <w:szCs w:val="22"/>
              </w:rPr>
              <w:lastRenderedPageBreak/>
              <w:t>bandi in una specifica sottosezione della sezione</w:t>
            </w:r>
            <w:r w:rsidR="00DA364B">
              <w:rPr>
                <w:sz w:val="22"/>
                <w:szCs w:val="22"/>
              </w:rPr>
              <w:t xml:space="preserve"> “Amministra</w:t>
            </w:r>
            <w:r w:rsidR="00D66357">
              <w:rPr>
                <w:sz w:val="22"/>
                <w:szCs w:val="22"/>
              </w:rPr>
              <w:t>-</w:t>
            </w:r>
            <w:r w:rsidR="00DA364B">
              <w:rPr>
                <w:sz w:val="22"/>
                <w:szCs w:val="22"/>
              </w:rPr>
              <w:t xml:space="preserve">zione trasparente”, </w:t>
            </w:r>
            <w:r>
              <w:rPr>
                <w:sz w:val="22"/>
                <w:szCs w:val="22"/>
              </w:rPr>
              <w:t>si ritiene di non</w:t>
            </w:r>
            <w:r w:rsidR="00DA364B">
              <w:rPr>
                <w:sz w:val="22"/>
                <w:szCs w:val="22"/>
              </w:rPr>
              <w:t xml:space="preserve"> dover</w:t>
            </w:r>
            <w:r>
              <w:rPr>
                <w:sz w:val="22"/>
                <w:szCs w:val="22"/>
              </w:rPr>
              <w:t xml:space="preserve"> trattare</w:t>
            </w:r>
            <w:r w:rsidR="00DA364B">
              <w:rPr>
                <w:sz w:val="22"/>
                <w:szCs w:val="22"/>
              </w:rPr>
              <w:t xml:space="preserve"> il rischio nel</w:t>
            </w:r>
            <w:r>
              <w:rPr>
                <w:sz w:val="22"/>
                <w:szCs w:val="22"/>
              </w:rPr>
              <w:t>l</w:t>
            </w:r>
            <w:r w:rsidRPr="00521461">
              <w:rPr>
                <w:sz w:val="22"/>
                <w:szCs w:val="22"/>
              </w:rPr>
              <w:t xml:space="preserve">’anno 2017, </w:t>
            </w:r>
            <w:r w:rsidR="00DA364B">
              <w:rPr>
                <w:sz w:val="22"/>
                <w:szCs w:val="22"/>
              </w:rPr>
              <w:t>riservandosi di farlo per la stesura del PTPCT 2018/2010 con inclusione anche dei dati relativi al 2017</w:t>
            </w:r>
          </w:p>
        </w:tc>
        <w:tc>
          <w:tcPr>
            <w:tcW w:w="0" w:type="auto"/>
          </w:tcPr>
          <w:p w:rsidR="006F1AEF" w:rsidRPr="008963BF" w:rsidRDefault="00DA364B" w:rsidP="006E2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Non vengono previste misure specifiche per le motivazioni riportate nella colonna 9.</w:t>
            </w:r>
          </w:p>
        </w:tc>
      </w:tr>
      <w:tr w:rsidR="00893891" w:rsidRPr="008963BF" w:rsidTr="00D66357">
        <w:tc>
          <w:tcPr>
            <w:tcW w:w="0" w:type="auto"/>
            <w:vMerge/>
          </w:tcPr>
          <w:p w:rsidR="003E20E3" w:rsidRPr="008963BF" w:rsidRDefault="003E20E3" w:rsidP="000E61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3E20E3" w:rsidRDefault="004C095C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Numero totale di soggetti aggiudicatari delle procedure di affidamento effettuate</w:t>
            </w:r>
            <w:r w:rsidR="004776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nel biennio 2015/2016 </w:t>
            </w:r>
            <w:r w:rsidR="00F13740" w:rsidRPr="009A0586">
              <w:rPr>
                <w:sz w:val="22"/>
                <w:szCs w:val="22"/>
              </w:rPr>
              <w:t>rapportato</w:t>
            </w:r>
            <w:r w:rsidR="00F13740" w:rsidRPr="008963BF">
              <w:rPr>
                <w:sz w:val="22"/>
                <w:szCs w:val="22"/>
              </w:rPr>
              <w:t xml:space="preserve"> al</w:t>
            </w:r>
            <w:r w:rsidR="00477688">
              <w:rPr>
                <w:sz w:val="22"/>
                <w:szCs w:val="22"/>
              </w:rPr>
              <w:t xml:space="preserve"> </w:t>
            </w:r>
          </w:p>
          <w:p w:rsidR="004C095C" w:rsidRPr="008963BF" w:rsidRDefault="004C095C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Numero di procedure di affidamento effettuate nel biennio 2015/2016</w:t>
            </w:r>
          </w:p>
        </w:tc>
        <w:tc>
          <w:tcPr>
            <w:tcW w:w="0" w:type="auto"/>
          </w:tcPr>
          <w:p w:rsidR="004C095C" w:rsidRPr="008963BF" w:rsidRDefault="003E20E3" w:rsidP="004C095C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Al numeratore </w:t>
            </w:r>
            <w:r w:rsidR="004C095C" w:rsidRPr="008963BF">
              <w:rPr>
                <w:sz w:val="22"/>
                <w:szCs w:val="22"/>
              </w:rPr>
              <w:t xml:space="preserve">va indicato il numero di soggetti aggiudicatari nel </w:t>
            </w:r>
            <w:r w:rsidR="004C095C">
              <w:rPr>
                <w:sz w:val="22"/>
                <w:szCs w:val="22"/>
              </w:rPr>
              <w:t>biennio 2015/2016</w:t>
            </w:r>
            <w:r w:rsidR="004C095C" w:rsidRPr="008963BF">
              <w:rPr>
                <w:sz w:val="22"/>
                <w:szCs w:val="22"/>
              </w:rPr>
              <w:t>, nel senso che, qualora un soggetto sia stato affidatario di più procedure, verrà considerato una sola volta. mentre al denominatore</w:t>
            </w:r>
            <w:r w:rsidR="00477688">
              <w:rPr>
                <w:sz w:val="22"/>
                <w:szCs w:val="22"/>
              </w:rPr>
              <w:t xml:space="preserve"> </w:t>
            </w:r>
          </w:p>
          <w:p w:rsidR="004B03D6" w:rsidRPr="008963BF" w:rsidRDefault="003E20E3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va indicato il numero di procedure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di affidamento e</w:t>
            </w:r>
            <w:r w:rsidR="004C095C">
              <w:rPr>
                <w:sz w:val="22"/>
                <w:szCs w:val="22"/>
              </w:rPr>
              <w:t>ffettuate nel biennio 2015/2016.</w:t>
            </w:r>
            <w:r w:rsidRPr="008963BF">
              <w:rPr>
                <w:sz w:val="22"/>
                <w:szCs w:val="22"/>
              </w:rPr>
              <w:t xml:space="preserve"> </w:t>
            </w:r>
            <w:r w:rsidR="004B03D6" w:rsidRPr="008963BF">
              <w:rPr>
                <w:sz w:val="22"/>
                <w:szCs w:val="22"/>
              </w:rPr>
              <w:t>Le procedure di affidamento comprendono sia le procedure di gara che gli affidamenti diretti non preceduti da confronto competitivo.</w:t>
            </w:r>
            <w:r w:rsidR="00477688">
              <w:rPr>
                <w:sz w:val="22"/>
                <w:szCs w:val="22"/>
              </w:rPr>
              <w:t xml:space="preserve"> </w:t>
            </w:r>
          </w:p>
          <w:p w:rsidR="003E20E3" w:rsidRPr="008963BF" w:rsidRDefault="003E20E3" w:rsidP="002B622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3E20E3" w:rsidRPr="008963BF" w:rsidRDefault="007B39C9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L’indicatore ha lo scopo di </w:t>
            </w:r>
            <w:r w:rsidR="003E20E3" w:rsidRPr="008963BF">
              <w:rPr>
                <w:sz w:val="22"/>
                <w:szCs w:val="22"/>
              </w:rPr>
              <w:t xml:space="preserve">verificare se vi è stata diversificazione nelle aggiudicazioni. </w:t>
            </w:r>
          </w:p>
          <w:p w:rsidR="003E20E3" w:rsidRPr="008963BF" w:rsidRDefault="00E96AA7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Minore</w:t>
            </w:r>
            <w:r w:rsidR="003E20E3" w:rsidRPr="008963BF">
              <w:rPr>
                <w:sz w:val="22"/>
                <w:szCs w:val="22"/>
              </w:rPr>
              <w:t xml:space="preserve"> sarà il valore dell’indicatore</w:t>
            </w:r>
            <w:r w:rsidR="004C095C">
              <w:rPr>
                <w:sz w:val="22"/>
                <w:szCs w:val="22"/>
              </w:rPr>
              <w:t xml:space="preserve"> (nell’intervallo tra 0 e 1)</w:t>
            </w:r>
            <w:r w:rsidR="00477688">
              <w:rPr>
                <w:sz w:val="22"/>
                <w:szCs w:val="22"/>
              </w:rPr>
              <w:t xml:space="preserve"> </w:t>
            </w:r>
            <w:r w:rsidR="003E20E3" w:rsidRPr="008963BF">
              <w:rPr>
                <w:sz w:val="22"/>
                <w:szCs w:val="22"/>
              </w:rPr>
              <w:t>tanto minore sarà la diversificazione</w:t>
            </w:r>
            <w:r w:rsidR="000F7F14" w:rsidRPr="008963BF">
              <w:rPr>
                <w:sz w:val="22"/>
                <w:szCs w:val="22"/>
              </w:rPr>
              <w:t xml:space="preserve"> </w:t>
            </w:r>
            <w:r w:rsidR="003E20E3" w:rsidRPr="008963BF">
              <w:rPr>
                <w:sz w:val="22"/>
                <w:szCs w:val="22"/>
              </w:rPr>
              <w:t>delle aggiudicazioni</w:t>
            </w:r>
            <w:r w:rsidR="006E2937" w:rsidRPr="008963BF">
              <w:rPr>
                <w:sz w:val="22"/>
                <w:szCs w:val="22"/>
              </w:rPr>
              <w:t xml:space="preserve"> e quindi uno stesso soggetto </w:t>
            </w:r>
            <w:r w:rsidR="00F86A79">
              <w:rPr>
                <w:sz w:val="22"/>
                <w:szCs w:val="22"/>
              </w:rPr>
              <w:t>avrà</w:t>
            </w:r>
            <w:r w:rsidR="006E2937" w:rsidRPr="008963BF">
              <w:rPr>
                <w:sz w:val="22"/>
                <w:szCs w:val="22"/>
              </w:rPr>
              <w:t xml:space="preserve"> ottenuto più </w:t>
            </w:r>
            <w:r w:rsidR="007B39C9" w:rsidRPr="008963BF">
              <w:rPr>
                <w:sz w:val="22"/>
                <w:szCs w:val="22"/>
              </w:rPr>
              <w:t>affidamenti.</w:t>
            </w:r>
          </w:p>
        </w:tc>
        <w:tc>
          <w:tcPr>
            <w:tcW w:w="0" w:type="auto"/>
          </w:tcPr>
          <w:p w:rsidR="006E2937" w:rsidRPr="008963BF" w:rsidRDefault="006E2937" w:rsidP="004A2C69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L’anomalia rilevata</w:t>
            </w:r>
            <w:r w:rsidR="004A2C69" w:rsidRPr="008963BF">
              <w:rPr>
                <w:sz w:val="22"/>
                <w:szCs w:val="22"/>
              </w:rPr>
              <w:t xml:space="preserve"> interessa il processo di v</w:t>
            </w:r>
            <w:r w:rsidR="009A0586">
              <w:rPr>
                <w:sz w:val="22"/>
                <w:szCs w:val="22"/>
              </w:rPr>
              <w:t>alutazione delle offerte</w:t>
            </w:r>
            <w:r w:rsidRPr="008963BF">
              <w:rPr>
                <w:sz w:val="22"/>
                <w:szCs w:val="22"/>
              </w:rPr>
              <w:t xml:space="preserve"> </w:t>
            </w:r>
          </w:p>
          <w:p w:rsidR="006E2937" w:rsidRPr="008963BF" w:rsidRDefault="006E2937" w:rsidP="006E2937">
            <w:pPr>
              <w:ind w:left="394"/>
              <w:rPr>
                <w:sz w:val="22"/>
                <w:szCs w:val="22"/>
              </w:rPr>
            </w:pPr>
          </w:p>
          <w:p w:rsidR="006E2937" w:rsidRPr="008963BF" w:rsidRDefault="006E2937" w:rsidP="00AA120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3E20E3" w:rsidRPr="008963BF" w:rsidRDefault="007B39C9" w:rsidP="007B39C9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La </w:t>
            </w:r>
            <w:r w:rsidR="004A2C69" w:rsidRPr="008963BF">
              <w:rPr>
                <w:sz w:val="22"/>
                <w:szCs w:val="22"/>
              </w:rPr>
              <w:t xml:space="preserve">valutazione delle offerte </w:t>
            </w:r>
            <w:r w:rsidRPr="008963BF">
              <w:rPr>
                <w:sz w:val="22"/>
                <w:szCs w:val="22"/>
              </w:rPr>
              <w:t>tende</w:t>
            </w:r>
            <w:r w:rsidR="004A2C69" w:rsidRPr="008963BF">
              <w:rPr>
                <w:sz w:val="22"/>
                <w:szCs w:val="22"/>
              </w:rPr>
              <w:t xml:space="preserve"> a favorire determinati operatori economici </w:t>
            </w:r>
          </w:p>
        </w:tc>
        <w:tc>
          <w:tcPr>
            <w:tcW w:w="0" w:type="auto"/>
          </w:tcPr>
          <w:p w:rsidR="003E20E3" w:rsidRPr="008963BF" w:rsidRDefault="007B39C9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Ingerenza di determinati operatori economici o di altri soggetti interni od esterni nella fase di valutazione delle offerte per favorire determinati operatori</w:t>
            </w:r>
            <w:r w:rsidR="00477688">
              <w:rPr>
                <w:sz w:val="22"/>
                <w:szCs w:val="22"/>
              </w:rPr>
              <w:t xml:space="preserve"> </w:t>
            </w:r>
            <w:r w:rsidR="002145E9">
              <w:rPr>
                <w:sz w:val="22"/>
                <w:szCs w:val="22"/>
              </w:rPr>
              <w:t xml:space="preserve">economici </w:t>
            </w:r>
          </w:p>
        </w:tc>
        <w:tc>
          <w:tcPr>
            <w:tcW w:w="0" w:type="auto"/>
            <w:shd w:val="clear" w:color="auto" w:fill="009600"/>
          </w:tcPr>
          <w:p w:rsidR="003E20E3" w:rsidRPr="008963BF" w:rsidRDefault="00521461" w:rsidP="00477688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Dall’esame del valore dell’indicatore, determinato sulla base d</w:t>
            </w:r>
            <w:r w:rsidR="00966160">
              <w:rPr>
                <w:sz w:val="22"/>
                <w:szCs w:val="22"/>
              </w:rPr>
              <w:t>ei dati forniti dai</w:t>
            </w:r>
            <w:r w:rsidR="00477688">
              <w:rPr>
                <w:sz w:val="22"/>
                <w:szCs w:val="22"/>
              </w:rPr>
              <w:t xml:space="preserve"> </w:t>
            </w:r>
            <w:r w:rsidR="00961301">
              <w:rPr>
                <w:sz w:val="22"/>
                <w:szCs w:val="22"/>
              </w:rPr>
              <w:t>Responsabili</w:t>
            </w:r>
            <w:r w:rsidR="00477688">
              <w:rPr>
                <w:sz w:val="22"/>
                <w:szCs w:val="22"/>
              </w:rPr>
              <w:t xml:space="preserve"> </w:t>
            </w:r>
            <w:r w:rsidR="00961301">
              <w:rPr>
                <w:sz w:val="22"/>
                <w:szCs w:val="22"/>
              </w:rPr>
              <w:t>di Settore</w:t>
            </w:r>
            <w:r w:rsidR="00477688">
              <w:rPr>
                <w:sz w:val="22"/>
                <w:szCs w:val="22"/>
              </w:rPr>
              <w:t xml:space="preserve"> </w:t>
            </w:r>
            <w:r w:rsidR="007B39C9" w:rsidRPr="008963BF">
              <w:rPr>
                <w:sz w:val="22"/>
                <w:szCs w:val="22"/>
              </w:rPr>
              <w:t xml:space="preserve">è risultato (come meglio evidenziato </w:t>
            </w:r>
            <w:r w:rsidR="00542B69">
              <w:rPr>
                <w:sz w:val="22"/>
                <w:szCs w:val="22"/>
              </w:rPr>
              <w:t>nella tabella B</w:t>
            </w:r>
            <w:r w:rsidR="00E1195D">
              <w:rPr>
                <w:sz w:val="22"/>
                <w:szCs w:val="22"/>
              </w:rPr>
              <w:t xml:space="preserve">) che il valore complessivo </w:t>
            </w:r>
            <w:r w:rsidR="004C095C">
              <w:rPr>
                <w:sz w:val="22"/>
                <w:szCs w:val="22"/>
              </w:rPr>
              <w:t>dell’indicatore è</w:t>
            </w:r>
            <w:r w:rsidR="00961301">
              <w:rPr>
                <w:sz w:val="22"/>
                <w:szCs w:val="22"/>
              </w:rPr>
              <w:t xml:space="preserve"> superiore</w:t>
            </w:r>
            <w:r w:rsidR="00F86A79">
              <w:rPr>
                <w:sz w:val="22"/>
                <w:szCs w:val="22"/>
              </w:rPr>
              <w:t xml:space="preserve"> </w:t>
            </w:r>
            <w:r w:rsidR="00961301">
              <w:rPr>
                <w:sz w:val="22"/>
                <w:szCs w:val="22"/>
              </w:rPr>
              <w:t xml:space="preserve">allo 0,6 </w:t>
            </w:r>
            <w:r w:rsidR="00AA7682">
              <w:rPr>
                <w:sz w:val="22"/>
                <w:szCs w:val="22"/>
              </w:rPr>
              <w:t>e</w:t>
            </w:r>
            <w:r w:rsidR="00E1195D">
              <w:rPr>
                <w:sz w:val="22"/>
                <w:szCs w:val="22"/>
              </w:rPr>
              <w:t xml:space="preserve"> ciò</w:t>
            </w:r>
            <w:r w:rsidR="00AA7682">
              <w:rPr>
                <w:sz w:val="22"/>
                <w:szCs w:val="22"/>
              </w:rPr>
              <w:t>, a differenza degli altri indicatori,</w:t>
            </w:r>
            <w:r w:rsidR="00477688">
              <w:rPr>
                <w:sz w:val="22"/>
                <w:szCs w:val="22"/>
              </w:rPr>
              <w:t xml:space="preserve"> </w:t>
            </w:r>
            <w:r w:rsidR="00E1195D">
              <w:rPr>
                <w:sz w:val="22"/>
                <w:szCs w:val="22"/>
              </w:rPr>
              <w:t xml:space="preserve">sta </w:t>
            </w:r>
            <w:r w:rsidR="004C095C">
              <w:rPr>
                <w:sz w:val="22"/>
                <w:szCs w:val="22"/>
              </w:rPr>
              <w:t>a significare</w:t>
            </w:r>
            <w:r w:rsidR="00477688">
              <w:rPr>
                <w:sz w:val="22"/>
                <w:szCs w:val="22"/>
              </w:rPr>
              <w:t xml:space="preserve"> </w:t>
            </w:r>
            <w:r w:rsidR="004C095C">
              <w:rPr>
                <w:sz w:val="22"/>
                <w:szCs w:val="22"/>
              </w:rPr>
              <w:t>che</w:t>
            </w:r>
            <w:r w:rsidR="00AA7682">
              <w:rPr>
                <w:sz w:val="22"/>
                <w:szCs w:val="22"/>
              </w:rPr>
              <w:t xml:space="preserve"> si registra una significativa diversificazione di operatori economici nelle aggiudicazioni.</w:t>
            </w:r>
            <w:r w:rsidR="004C095C">
              <w:rPr>
                <w:sz w:val="22"/>
                <w:szCs w:val="22"/>
              </w:rPr>
              <w:t xml:space="preserve"> </w:t>
            </w:r>
            <w:r w:rsidR="00FD6189">
              <w:rPr>
                <w:sz w:val="22"/>
                <w:szCs w:val="22"/>
              </w:rPr>
              <w:t xml:space="preserve">Pertanto, </w:t>
            </w:r>
            <w:r w:rsidR="007A2E12">
              <w:rPr>
                <w:sz w:val="22"/>
                <w:szCs w:val="22"/>
              </w:rPr>
              <w:t>il rischio</w:t>
            </w:r>
            <w:r w:rsidR="00FD6189">
              <w:rPr>
                <w:sz w:val="22"/>
                <w:szCs w:val="22"/>
              </w:rPr>
              <w:t xml:space="preserve"> </w:t>
            </w:r>
            <w:r w:rsidR="00E1195D">
              <w:rPr>
                <w:sz w:val="22"/>
                <w:szCs w:val="22"/>
              </w:rPr>
              <w:t xml:space="preserve">è </w:t>
            </w:r>
            <w:r w:rsidR="007A2E12">
              <w:rPr>
                <w:sz w:val="22"/>
                <w:szCs w:val="22"/>
              </w:rPr>
              <w:t>di livello</w:t>
            </w:r>
            <w:r w:rsidR="00AA7682">
              <w:rPr>
                <w:sz w:val="22"/>
                <w:szCs w:val="22"/>
              </w:rPr>
              <w:t xml:space="preserve"> BASSO</w:t>
            </w:r>
            <w:r w:rsidR="00E11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3E20E3" w:rsidRPr="008963BF" w:rsidRDefault="004D1FDA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Visto che la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probabilità che si verifichi l’evento rischios</w:t>
            </w:r>
            <w:r w:rsidR="00E96AA7">
              <w:rPr>
                <w:sz w:val="22"/>
                <w:szCs w:val="22"/>
              </w:rPr>
              <w:t>o è risultata essere bassa,</w:t>
            </w:r>
            <w:r w:rsidRPr="008963BF">
              <w:rPr>
                <w:sz w:val="22"/>
                <w:szCs w:val="22"/>
              </w:rPr>
              <w:t xml:space="preserve"> </w:t>
            </w:r>
            <w:r w:rsidR="00966160">
              <w:rPr>
                <w:sz w:val="22"/>
                <w:szCs w:val="22"/>
              </w:rPr>
              <w:t>si ritiene di non dover trattare il rischio</w:t>
            </w:r>
          </w:p>
        </w:tc>
        <w:tc>
          <w:tcPr>
            <w:tcW w:w="0" w:type="auto"/>
          </w:tcPr>
          <w:p w:rsidR="00C47E26" w:rsidRPr="008963BF" w:rsidRDefault="00966160" w:rsidP="0096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vengono previste misure specifiche per le motivazioni riportate nella colonna 9.</w:t>
            </w:r>
          </w:p>
        </w:tc>
      </w:tr>
      <w:tr w:rsidR="00893891" w:rsidRPr="008963BF" w:rsidTr="00D66357">
        <w:tc>
          <w:tcPr>
            <w:tcW w:w="0" w:type="auto"/>
          </w:tcPr>
          <w:p w:rsidR="000F7F14" w:rsidRPr="008963BF" w:rsidRDefault="000F7F14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4. Verifica dell’aggiudicazione e stipula del contratto </w:t>
            </w:r>
          </w:p>
        </w:tc>
        <w:tc>
          <w:tcPr>
            <w:tcW w:w="0" w:type="auto"/>
          </w:tcPr>
          <w:p w:rsidR="000F7F14" w:rsidRPr="008963BF" w:rsidRDefault="000F7F14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Numero di affidamenti diretti senza previo avviso di indagine di mercato disposti in assenza di verifica dei requisiti nel biennio 2015</w:t>
            </w:r>
            <w:r w:rsidR="004D1FDA" w:rsidRPr="008963BF">
              <w:rPr>
                <w:sz w:val="22"/>
                <w:szCs w:val="22"/>
              </w:rPr>
              <w:t xml:space="preserve">/2016 </w:t>
            </w:r>
            <w:r w:rsidR="004D1FDA" w:rsidRPr="009A0586">
              <w:rPr>
                <w:sz w:val="22"/>
                <w:szCs w:val="22"/>
              </w:rPr>
              <w:t>rapportato</w:t>
            </w:r>
            <w:r w:rsidR="004D1FDA" w:rsidRPr="008963BF">
              <w:rPr>
                <w:b/>
                <w:sz w:val="22"/>
                <w:szCs w:val="22"/>
              </w:rPr>
              <w:t xml:space="preserve"> </w:t>
            </w:r>
            <w:r w:rsidR="004D1FDA" w:rsidRPr="008963BF">
              <w:rPr>
                <w:sz w:val="22"/>
                <w:szCs w:val="22"/>
              </w:rPr>
              <w:t>al</w:t>
            </w:r>
            <w:r w:rsidR="00477688">
              <w:rPr>
                <w:sz w:val="22"/>
                <w:szCs w:val="22"/>
              </w:rPr>
              <w:t xml:space="preserve"> </w:t>
            </w:r>
            <w:r w:rsidR="009A0586">
              <w:rPr>
                <w:sz w:val="22"/>
                <w:szCs w:val="22"/>
              </w:rPr>
              <w:t>n</w:t>
            </w:r>
            <w:r w:rsidRPr="008963BF">
              <w:rPr>
                <w:sz w:val="22"/>
                <w:szCs w:val="22"/>
              </w:rPr>
              <w:t xml:space="preserve">umero totale di affidamenti diretti senza previo avviso di indagine di mercato nel biennio </w:t>
            </w:r>
            <w:r w:rsidRPr="008963BF">
              <w:rPr>
                <w:sz w:val="22"/>
                <w:szCs w:val="22"/>
              </w:rPr>
              <w:lastRenderedPageBreak/>
              <w:t>2015/2016</w:t>
            </w:r>
          </w:p>
        </w:tc>
        <w:tc>
          <w:tcPr>
            <w:tcW w:w="0" w:type="auto"/>
          </w:tcPr>
          <w:p w:rsidR="000F7F14" w:rsidRPr="008963BF" w:rsidRDefault="000F7F14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lastRenderedPageBreak/>
              <w:t>Al numeratore va indicato il numero di quegli affidamenti diretti</w:t>
            </w:r>
            <w:r w:rsidR="00477688">
              <w:rPr>
                <w:sz w:val="22"/>
                <w:szCs w:val="22"/>
              </w:rPr>
              <w:t xml:space="preserve"> </w:t>
            </w:r>
            <w:r w:rsidR="009A0586">
              <w:rPr>
                <w:sz w:val="22"/>
                <w:szCs w:val="22"/>
              </w:rPr>
              <w:t xml:space="preserve">senza previo avviso di indagine di mercato </w:t>
            </w:r>
            <w:r w:rsidRPr="008963BF">
              <w:rPr>
                <w:sz w:val="22"/>
                <w:szCs w:val="22"/>
              </w:rPr>
              <w:t xml:space="preserve">effettuati nel biennio 2015/2016 per i quali non si è provveduto a verificare il possesso dei requisiti richiesti dalla legge in capo all’aggiudicatario. </w:t>
            </w:r>
          </w:p>
          <w:p w:rsidR="000F7F14" w:rsidRPr="008963BF" w:rsidRDefault="000F7F14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Al denominatore va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indicato il numero di affidamenti diretti effettuati nel biennio 2015/2016</w:t>
            </w:r>
            <w:r w:rsidR="004D1FDA" w:rsidRPr="008963BF">
              <w:rPr>
                <w:sz w:val="22"/>
                <w:szCs w:val="22"/>
              </w:rPr>
              <w:t xml:space="preserve"> senza previo avviso di indagini di mercato</w:t>
            </w:r>
            <w:r w:rsidRPr="008963BF">
              <w:rPr>
                <w:sz w:val="22"/>
                <w:szCs w:val="22"/>
              </w:rPr>
              <w:t xml:space="preserve">. </w:t>
            </w:r>
            <w:r w:rsidR="004B03D6" w:rsidRPr="008963BF">
              <w:rPr>
                <w:sz w:val="22"/>
                <w:szCs w:val="22"/>
              </w:rPr>
              <w:t xml:space="preserve">Un valore alto </w:t>
            </w:r>
            <w:r w:rsidR="004B03D6" w:rsidRPr="008963BF">
              <w:rPr>
                <w:sz w:val="22"/>
                <w:szCs w:val="22"/>
              </w:rPr>
              <w:lastRenderedPageBreak/>
              <w:t>dell’indicatore (quindi prossimo a 1) può essere sintomatico di omesse verifiche dei requisiti in capo agli aggiudicatari per favorire soggetti che non hanno i requisiti richiesti dalla legge ai quali si affidano direttamente lavori, servizi o forniture.</w:t>
            </w:r>
          </w:p>
        </w:tc>
        <w:tc>
          <w:tcPr>
            <w:tcW w:w="0" w:type="auto"/>
          </w:tcPr>
          <w:p w:rsidR="000F7F14" w:rsidRPr="008963BF" w:rsidRDefault="000F7F14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lastRenderedPageBreak/>
              <w:t>Lo scopo dell’indicatore è</w:t>
            </w:r>
            <w:r w:rsidR="004B03D6" w:rsidRPr="008963BF">
              <w:rPr>
                <w:sz w:val="22"/>
                <w:szCs w:val="22"/>
              </w:rPr>
              <w:t xml:space="preserve"> verificare se </w:t>
            </w:r>
            <w:r w:rsidRPr="008963BF">
              <w:rPr>
                <w:sz w:val="22"/>
                <w:szCs w:val="22"/>
              </w:rPr>
              <w:t xml:space="preserve">viene </w:t>
            </w:r>
            <w:r w:rsidR="004B03D6" w:rsidRPr="008963BF">
              <w:rPr>
                <w:sz w:val="22"/>
                <w:szCs w:val="22"/>
              </w:rPr>
              <w:t xml:space="preserve">sistematicamente </w:t>
            </w:r>
            <w:r w:rsidRPr="008963BF">
              <w:rPr>
                <w:sz w:val="22"/>
                <w:szCs w:val="22"/>
              </w:rPr>
              <w:t>omessa la verifica dei requisiti previsti dalla legge in capo agli aggiudicatari diretti.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0F7F14" w:rsidRPr="008963BF" w:rsidRDefault="004B03D6" w:rsidP="004B03D6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Verifica dei requisiti in capo all’affidatario </w:t>
            </w:r>
          </w:p>
        </w:tc>
        <w:tc>
          <w:tcPr>
            <w:tcW w:w="0" w:type="auto"/>
          </w:tcPr>
          <w:p w:rsidR="000F7F14" w:rsidRPr="008963BF" w:rsidRDefault="00394139" w:rsidP="000E6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Negli affidamenti diretti, affidare contratti pubblici a </w:t>
            </w:r>
            <w:r w:rsidR="004B03D6" w:rsidRPr="008963BF">
              <w:rPr>
                <w:sz w:val="22"/>
                <w:szCs w:val="22"/>
              </w:rPr>
              <w:t xml:space="preserve">soggetti che non hanno i requisiti previsti dalle norme di legge, </w:t>
            </w:r>
            <w:r w:rsidRPr="008963BF">
              <w:rPr>
                <w:sz w:val="22"/>
                <w:szCs w:val="22"/>
              </w:rPr>
              <w:t>né le esperienze o professionalità necessarie a svolgere determinati interventi</w:t>
            </w:r>
            <w:r w:rsidR="004B03D6" w:rsidRPr="008963B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F7F14" w:rsidRPr="008963BF" w:rsidRDefault="007D6907" w:rsidP="00120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Assenza di </w:t>
            </w:r>
            <w:r w:rsidR="004B03D6" w:rsidRPr="008963BF">
              <w:rPr>
                <w:sz w:val="22"/>
                <w:szCs w:val="22"/>
              </w:rPr>
              <w:t>regol</w:t>
            </w:r>
            <w:r w:rsidR="00120CE0" w:rsidRPr="008963BF">
              <w:rPr>
                <w:sz w:val="22"/>
                <w:szCs w:val="22"/>
              </w:rPr>
              <w:t>a</w:t>
            </w:r>
            <w:r w:rsidR="00FE64C3">
              <w:rPr>
                <w:sz w:val="22"/>
                <w:szCs w:val="22"/>
              </w:rPr>
              <w:t>mentazione interna che specifichi</w:t>
            </w:r>
            <w:r w:rsidR="00120CE0" w:rsidRPr="008963BF">
              <w:rPr>
                <w:sz w:val="22"/>
                <w:szCs w:val="22"/>
              </w:rPr>
              <w:t xml:space="preserve"> le verifiche da effettuare</w:t>
            </w:r>
            <w:r>
              <w:rPr>
                <w:sz w:val="22"/>
                <w:szCs w:val="22"/>
              </w:rPr>
              <w:t xml:space="preserve"> in misura differenziata per importi dei contratti.</w:t>
            </w:r>
          </w:p>
        </w:tc>
        <w:tc>
          <w:tcPr>
            <w:tcW w:w="0" w:type="auto"/>
            <w:shd w:val="clear" w:color="auto" w:fill="009600"/>
          </w:tcPr>
          <w:p w:rsidR="000F7F14" w:rsidRPr="008963BF" w:rsidRDefault="00521461" w:rsidP="00477688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Dall’esame del valore dell’indicatore</w:t>
            </w:r>
            <w:r w:rsidR="007D6907">
              <w:rPr>
                <w:sz w:val="22"/>
                <w:szCs w:val="22"/>
              </w:rPr>
              <w:t xml:space="preserve"> </w:t>
            </w:r>
            <w:r w:rsidRPr="00521461">
              <w:rPr>
                <w:sz w:val="22"/>
                <w:szCs w:val="22"/>
              </w:rPr>
              <w:t>determinato sulla bas</w:t>
            </w:r>
            <w:r w:rsidR="00AA7682">
              <w:rPr>
                <w:sz w:val="22"/>
                <w:szCs w:val="22"/>
              </w:rPr>
              <w:t>e dei dati fornit</w:t>
            </w:r>
            <w:r w:rsidR="005010E6">
              <w:rPr>
                <w:sz w:val="22"/>
                <w:szCs w:val="22"/>
              </w:rPr>
              <w:t>i</w:t>
            </w:r>
            <w:r w:rsidR="00477688">
              <w:rPr>
                <w:sz w:val="22"/>
                <w:szCs w:val="22"/>
              </w:rPr>
              <w:t xml:space="preserve"> </w:t>
            </w:r>
            <w:r w:rsidR="005010E6">
              <w:rPr>
                <w:sz w:val="22"/>
                <w:szCs w:val="22"/>
              </w:rPr>
              <w:t>dai Responsabili</w:t>
            </w:r>
            <w:r w:rsidR="00477688">
              <w:rPr>
                <w:sz w:val="22"/>
                <w:szCs w:val="22"/>
              </w:rPr>
              <w:t xml:space="preserve"> </w:t>
            </w:r>
            <w:r w:rsidR="005010E6">
              <w:rPr>
                <w:sz w:val="22"/>
                <w:szCs w:val="22"/>
              </w:rPr>
              <w:t>di S</w:t>
            </w:r>
            <w:r w:rsidR="00AA7682">
              <w:rPr>
                <w:sz w:val="22"/>
                <w:szCs w:val="22"/>
              </w:rPr>
              <w:t>ettore</w:t>
            </w:r>
            <w:r w:rsidR="00120CE0" w:rsidRPr="008963BF">
              <w:rPr>
                <w:sz w:val="22"/>
                <w:szCs w:val="22"/>
              </w:rPr>
              <w:t xml:space="preserve">, </w:t>
            </w:r>
            <w:r w:rsidR="00AA7682">
              <w:rPr>
                <w:sz w:val="22"/>
                <w:szCs w:val="22"/>
              </w:rPr>
              <w:t>è risultata</w:t>
            </w:r>
            <w:r w:rsidR="00120CE0" w:rsidRPr="008963BF">
              <w:rPr>
                <w:sz w:val="22"/>
                <w:szCs w:val="22"/>
              </w:rPr>
              <w:t xml:space="preserve"> (come meglio evidenziato </w:t>
            </w:r>
            <w:r w:rsidR="00542B69">
              <w:rPr>
                <w:sz w:val="22"/>
                <w:szCs w:val="22"/>
              </w:rPr>
              <w:t>nella tabella B</w:t>
            </w:r>
            <w:r w:rsidR="00AA7682">
              <w:rPr>
                <w:sz w:val="22"/>
                <w:szCs w:val="22"/>
              </w:rPr>
              <w:t>) una cifra percentuale pari a 0,003 per cui</w:t>
            </w:r>
            <w:r w:rsidR="00482A12">
              <w:rPr>
                <w:sz w:val="22"/>
                <w:szCs w:val="22"/>
              </w:rPr>
              <w:t xml:space="preserve"> </w:t>
            </w:r>
            <w:r w:rsidR="00AA7682">
              <w:rPr>
                <w:sz w:val="22"/>
                <w:szCs w:val="22"/>
              </w:rPr>
              <w:t>l</w:t>
            </w:r>
            <w:r w:rsidR="00A72081">
              <w:rPr>
                <w:sz w:val="22"/>
                <w:szCs w:val="22"/>
              </w:rPr>
              <w:t>’evento rischioso viene misurato di livello</w:t>
            </w:r>
            <w:r w:rsidR="00120CE0" w:rsidRPr="008963BF">
              <w:rPr>
                <w:sz w:val="22"/>
                <w:szCs w:val="22"/>
              </w:rPr>
              <w:t xml:space="preserve"> </w:t>
            </w:r>
            <w:r w:rsidR="00AA7682">
              <w:rPr>
                <w:sz w:val="22"/>
                <w:szCs w:val="22"/>
              </w:rPr>
              <w:t>BASSO.</w:t>
            </w:r>
          </w:p>
        </w:tc>
        <w:tc>
          <w:tcPr>
            <w:tcW w:w="0" w:type="auto"/>
          </w:tcPr>
          <w:p w:rsidR="000F7F14" w:rsidRPr="008963BF" w:rsidRDefault="00E11106" w:rsidP="00477688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Considerato che la probabilità che si verifichi il rischio è risulta</w:t>
            </w:r>
            <w:r>
              <w:rPr>
                <w:sz w:val="22"/>
                <w:szCs w:val="22"/>
              </w:rPr>
              <w:t xml:space="preserve">ta bassa, non si procede a trattare il rischio, tenendo anche conto </w:t>
            </w:r>
            <w:r w:rsidR="00CB4ED8" w:rsidRPr="008963BF">
              <w:rPr>
                <w:sz w:val="22"/>
                <w:szCs w:val="22"/>
              </w:rPr>
              <w:t>che per affi</w:t>
            </w:r>
            <w:r w:rsidR="00462080">
              <w:rPr>
                <w:sz w:val="22"/>
                <w:szCs w:val="22"/>
              </w:rPr>
              <w:t>da</w:t>
            </w:r>
            <w:r w:rsidR="00D66357">
              <w:rPr>
                <w:sz w:val="22"/>
                <w:szCs w:val="22"/>
              </w:rPr>
              <w:t>-</w:t>
            </w:r>
            <w:r w:rsidR="00462080">
              <w:rPr>
                <w:sz w:val="22"/>
                <w:szCs w:val="22"/>
              </w:rPr>
              <w:t>menti d’importo non elevato vi è l’esigenza che la</w:t>
            </w:r>
            <w:r w:rsidR="00477688">
              <w:rPr>
                <w:sz w:val="22"/>
                <w:szCs w:val="22"/>
              </w:rPr>
              <w:t xml:space="preserve"> </w:t>
            </w:r>
            <w:r w:rsidR="00CB4ED8" w:rsidRPr="008963BF">
              <w:rPr>
                <w:sz w:val="22"/>
                <w:szCs w:val="22"/>
              </w:rPr>
              <w:t>p</w:t>
            </w:r>
            <w:r w:rsidR="00462080">
              <w:rPr>
                <w:sz w:val="22"/>
                <w:szCs w:val="22"/>
              </w:rPr>
              <w:t>rocedura di verifica</w:t>
            </w:r>
            <w:r w:rsidR="00477688">
              <w:rPr>
                <w:sz w:val="22"/>
                <w:szCs w:val="22"/>
              </w:rPr>
              <w:t xml:space="preserve"> </w:t>
            </w:r>
            <w:r w:rsidR="00462080">
              <w:rPr>
                <w:sz w:val="22"/>
                <w:szCs w:val="22"/>
              </w:rPr>
              <w:t>sia</w:t>
            </w:r>
            <w:r w:rsidR="00477688">
              <w:rPr>
                <w:sz w:val="22"/>
                <w:szCs w:val="22"/>
              </w:rPr>
              <w:t xml:space="preserve"> </w:t>
            </w:r>
            <w:r w:rsidR="00CB4ED8" w:rsidRPr="008963BF">
              <w:rPr>
                <w:sz w:val="22"/>
                <w:szCs w:val="22"/>
              </w:rPr>
              <w:t>il più possibile semplificata</w:t>
            </w:r>
            <w:r w:rsidR="00462080">
              <w:rPr>
                <w:sz w:val="22"/>
                <w:szCs w:val="22"/>
              </w:rPr>
              <w:t xml:space="preserve"> per rendere l’azione amministrativa il più tempestiva possibile</w:t>
            </w:r>
            <w:r w:rsidR="00CB4ED8" w:rsidRPr="008963BF">
              <w:rPr>
                <w:sz w:val="22"/>
                <w:szCs w:val="22"/>
              </w:rPr>
              <w:t>. Inoltre</w:t>
            </w:r>
            <w:r w:rsidR="00C47E26">
              <w:rPr>
                <w:sz w:val="22"/>
                <w:szCs w:val="22"/>
              </w:rPr>
              <w:t>,</w:t>
            </w:r>
            <w:r w:rsidR="00477688">
              <w:rPr>
                <w:sz w:val="22"/>
                <w:szCs w:val="22"/>
              </w:rPr>
              <w:t xml:space="preserve"> </w:t>
            </w:r>
            <w:r w:rsidR="00CB4ED8" w:rsidRPr="008963BF">
              <w:rPr>
                <w:sz w:val="22"/>
                <w:szCs w:val="22"/>
              </w:rPr>
              <w:t>la normativa vigente ha previsto la costituzione di</w:t>
            </w:r>
            <w:r w:rsidR="00477688">
              <w:rPr>
                <w:sz w:val="22"/>
                <w:szCs w:val="22"/>
              </w:rPr>
              <w:t xml:space="preserve"> </w:t>
            </w:r>
            <w:r w:rsidR="00CB4ED8" w:rsidRPr="008963BF">
              <w:rPr>
                <w:sz w:val="22"/>
                <w:szCs w:val="22"/>
              </w:rPr>
              <w:t xml:space="preserve">una Banca dati unica per la </w:t>
            </w:r>
            <w:r w:rsidR="00CB4ED8" w:rsidRPr="008963BF">
              <w:rPr>
                <w:sz w:val="22"/>
                <w:szCs w:val="22"/>
              </w:rPr>
              <w:lastRenderedPageBreak/>
              <w:t>verifica dei req</w:t>
            </w:r>
            <w:r w:rsidR="00D43655">
              <w:rPr>
                <w:sz w:val="22"/>
                <w:szCs w:val="22"/>
              </w:rPr>
              <w:t xml:space="preserve">uisiti che quando verrà costituita </w:t>
            </w:r>
            <w:r w:rsidR="00CB4ED8" w:rsidRPr="008963BF">
              <w:rPr>
                <w:sz w:val="22"/>
                <w:szCs w:val="22"/>
              </w:rPr>
              <w:t>consentirà verifiche</w:t>
            </w:r>
            <w:r w:rsidR="00C47E26">
              <w:rPr>
                <w:sz w:val="22"/>
                <w:szCs w:val="22"/>
              </w:rPr>
              <w:t xml:space="preserve"> complete in poco tempo</w:t>
            </w:r>
            <w:r w:rsidR="00CB4ED8" w:rsidRPr="008963BF">
              <w:rPr>
                <w:sz w:val="22"/>
                <w:szCs w:val="22"/>
              </w:rPr>
              <w:t>.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0F7F14" w:rsidRPr="008963BF" w:rsidRDefault="00FB4ADF" w:rsidP="00CB4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Non vengono previste misure specifiche per le motivazioni riportate nella colonna 9.</w:t>
            </w:r>
          </w:p>
        </w:tc>
      </w:tr>
      <w:tr w:rsidR="00893891" w:rsidRPr="008963BF" w:rsidTr="00D66357">
        <w:trPr>
          <w:trHeight w:val="6864"/>
        </w:trPr>
        <w:tc>
          <w:tcPr>
            <w:tcW w:w="0" w:type="auto"/>
          </w:tcPr>
          <w:p w:rsidR="00DD5974" w:rsidRPr="008963BF" w:rsidRDefault="00DD5974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lastRenderedPageBreak/>
              <w:t xml:space="preserve">5. esecuzione del contratto </w:t>
            </w:r>
          </w:p>
        </w:tc>
        <w:tc>
          <w:tcPr>
            <w:tcW w:w="0" w:type="auto"/>
          </w:tcPr>
          <w:p w:rsidR="00DD5974" w:rsidRPr="008963BF" w:rsidRDefault="00AA1200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Numero degli affidamenti effettuati nel biennio 2015-2016 + </w:t>
            </w:r>
            <w:r w:rsidR="00CA5F99">
              <w:rPr>
                <w:sz w:val="22"/>
                <w:szCs w:val="22"/>
              </w:rPr>
              <w:t>n</w:t>
            </w:r>
            <w:r w:rsidR="00DD5974" w:rsidRPr="008963BF">
              <w:rPr>
                <w:sz w:val="22"/>
                <w:szCs w:val="22"/>
              </w:rPr>
              <w:t>umero dei contrat</w:t>
            </w:r>
            <w:r w:rsidRPr="008963BF">
              <w:rPr>
                <w:sz w:val="22"/>
                <w:szCs w:val="22"/>
              </w:rPr>
              <w:t>i in corso nel biennio medesimo</w:t>
            </w:r>
            <w:r w:rsidR="00DD5974" w:rsidRPr="008963BF">
              <w:rPr>
                <w:sz w:val="22"/>
                <w:szCs w:val="22"/>
              </w:rPr>
              <w:t xml:space="preserve"> interessati da almeno una variante </w:t>
            </w:r>
            <w:r w:rsidRPr="00CA5F99">
              <w:rPr>
                <w:sz w:val="22"/>
                <w:szCs w:val="22"/>
              </w:rPr>
              <w:t>rapportato al</w:t>
            </w:r>
            <w:r w:rsidRPr="008963BF">
              <w:rPr>
                <w:b/>
                <w:sz w:val="22"/>
                <w:szCs w:val="22"/>
              </w:rPr>
              <w:t xml:space="preserve"> </w:t>
            </w:r>
            <w:r w:rsidR="00CA5F99">
              <w:rPr>
                <w:sz w:val="22"/>
                <w:szCs w:val="22"/>
              </w:rPr>
              <w:t>n</w:t>
            </w:r>
            <w:r w:rsidRPr="008963BF">
              <w:rPr>
                <w:sz w:val="22"/>
                <w:szCs w:val="22"/>
              </w:rPr>
              <w:t>umero totale d</w:t>
            </w:r>
            <w:r w:rsidR="00DD5974" w:rsidRPr="008963BF">
              <w:rPr>
                <w:sz w:val="22"/>
                <w:szCs w:val="22"/>
              </w:rPr>
              <w:t>i</w:t>
            </w:r>
            <w:r w:rsidRPr="008963BF">
              <w:rPr>
                <w:sz w:val="22"/>
                <w:szCs w:val="22"/>
              </w:rPr>
              <w:t xml:space="preserve"> affidamenti effettuati nel biennio 2015-2016 </w:t>
            </w:r>
            <w:r w:rsidR="00F650F1" w:rsidRPr="008963BF">
              <w:rPr>
                <w:sz w:val="22"/>
                <w:szCs w:val="22"/>
              </w:rPr>
              <w:t>+</w:t>
            </w:r>
            <w:r w:rsidRPr="008963BF">
              <w:rPr>
                <w:sz w:val="22"/>
                <w:szCs w:val="22"/>
              </w:rPr>
              <w:t xml:space="preserve"> numero totale di contratti</w:t>
            </w:r>
            <w:r w:rsidR="00477688">
              <w:rPr>
                <w:sz w:val="22"/>
                <w:szCs w:val="22"/>
              </w:rPr>
              <w:t xml:space="preserve"> </w:t>
            </w:r>
            <w:r w:rsidR="00DD5974" w:rsidRPr="008963BF">
              <w:rPr>
                <w:sz w:val="22"/>
                <w:szCs w:val="22"/>
              </w:rPr>
              <w:t>in corso nel biennio medesimo</w:t>
            </w:r>
          </w:p>
        </w:tc>
        <w:tc>
          <w:tcPr>
            <w:tcW w:w="0" w:type="auto"/>
          </w:tcPr>
          <w:p w:rsidR="00DD5974" w:rsidRPr="008963BF" w:rsidRDefault="00DD5974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Al numeratore va indicato il numero degli affidamenti effettuati e dei contratti</w:t>
            </w:r>
            <w:r w:rsidR="00477688">
              <w:rPr>
                <w:sz w:val="22"/>
                <w:szCs w:val="22"/>
              </w:rPr>
              <w:t xml:space="preserve"> </w:t>
            </w:r>
            <w:r w:rsidR="00CA5F99">
              <w:rPr>
                <w:sz w:val="22"/>
                <w:szCs w:val="22"/>
              </w:rPr>
              <w:t>in corso</w:t>
            </w:r>
            <w:r w:rsidR="00477688">
              <w:rPr>
                <w:sz w:val="22"/>
                <w:szCs w:val="22"/>
              </w:rPr>
              <w:t xml:space="preserve"> </w:t>
            </w:r>
            <w:r w:rsidR="00CA5F99">
              <w:rPr>
                <w:sz w:val="22"/>
                <w:szCs w:val="22"/>
              </w:rPr>
              <w:t>nel biennio 2015/2016</w:t>
            </w:r>
            <w:r w:rsidRPr="008963BF">
              <w:rPr>
                <w:sz w:val="22"/>
                <w:szCs w:val="22"/>
              </w:rPr>
              <w:t xml:space="preserve"> per i quali è stata adottata almeno una variante. </w:t>
            </w:r>
          </w:p>
          <w:p w:rsidR="00AA1200" w:rsidRPr="008963BF" w:rsidRDefault="00DD5974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Al denominatore va indicato il numero complessivo degli affidamenti effettuati e dei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contratti in corso nel biennio 2015/2016</w:t>
            </w:r>
            <w:r w:rsidR="00AA1200" w:rsidRPr="008963BF">
              <w:rPr>
                <w:sz w:val="22"/>
                <w:szCs w:val="22"/>
              </w:rPr>
              <w:t>.</w:t>
            </w:r>
          </w:p>
          <w:p w:rsidR="00DD5974" w:rsidRPr="008963BF" w:rsidRDefault="00AA1200" w:rsidP="0011261A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La presenza di un elevato numero di contratti aggiudicati e poi modificati per effetto di varianti va attentamente analizzato, verificando le cause che hanno dato luogo alla necessità di modificare il contratto iniziale. </w:t>
            </w:r>
            <w:r w:rsidR="00DD5974" w:rsidRPr="008963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DD5974" w:rsidRPr="008963BF" w:rsidRDefault="00DD5974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Lo scopo dell’indicatore è di accertare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con quanta frequenza si è fatto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 xml:space="preserve">ricorso all’uso delle varianti in corso di esecuzione </w:t>
            </w:r>
          </w:p>
        </w:tc>
        <w:tc>
          <w:tcPr>
            <w:tcW w:w="0" w:type="auto"/>
          </w:tcPr>
          <w:p w:rsidR="00DD5974" w:rsidRPr="008963BF" w:rsidRDefault="00C47E26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Approvazione</w:t>
            </w:r>
            <w:r w:rsidR="00477688">
              <w:rPr>
                <w:sz w:val="22"/>
                <w:szCs w:val="22"/>
              </w:rPr>
              <w:t xml:space="preserve"> </w:t>
            </w:r>
            <w:r w:rsidR="000255F8" w:rsidRPr="008963BF">
              <w:rPr>
                <w:sz w:val="22"/>
                <w:szCs w:val="22"/>
              </w:rPr>
              <w:t xml:space="preserve">delle varianti </w:t>
            </w:r>
          </w:p>
        </w:tc>
        <w:tc>
          <w:tcPr>
            <w:tcW w:w="0" w:type="auto"/>
          </w:tcPr>
          <w:p w:rsidR="00DD5974" w:rsidRPr="008963BF" w:rsidRDefault="00D43655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255F8" w:rsidRPr="008963BF">
              <w:rPr>
                <w:sz w:val="22"/>
                <w:szCs w:val="22"/>
              </w:rPr>
              <w:t>buso nell’utilizzo delle varianti per favorire l’appaltatore (ad esempio, consentendogli di recuperare lo sconto effettuato in gara o di conseguire extra guadagni)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DD5974" w:rsidRPr="008963BF" w:rsidRDefault="00AF613F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Mancanza di controlli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009600"/>
          </w:tcPr>
          <w:p w:rsidR="00DD5974" w:rsidRPr="008963BF" w:rsidRDefault="00521461" w:rsidP="00D66357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Dall’esame del valore dell’indicatore, determinato sulla bas</w:t>
            </w:r>
            <w:r w:rsidR="00D21C0A">
              <w:rPr>
                <w:sz w:val="22"/>
                <w:szCs w:val="22"/>
              </w:rPr>
              <w:t>e dei dati forniti dai</w:t>
            </w:r>
            <w:r w:rsidR="00477688">
              <w:rPr>
                <w:sz w:val="22"/>
                <w:szCs w:val="22"/>
              </w:rPr>
              <w:t xml:space="preserve"> </w:t>
            </w:r>
            <w:r w:rsidR="00D21C0A">
              <w:rPr>
                <w:sz w:val="22"/>
                <w:szCs w:val="22"/>
              </w:rPr>
              <w:t>Responsabili</w:t>
            </w:r>
            <w:r w:rsidR="00477688">
              <w:rPr>
                <w:sz w:val="22"/>
                <w:szCs w:val="22"/>
              </w:rPr>
              <w:t xml:space="preserve"> </w:t>
            </w:r>
            <w:r w:rsidR="00D21C0A">
              <w:rPr>
                <w:sz w:val="22"/>
                <w:szCs w:val="22"/>
              </w:rPr>
              <w:t>di Settore,</w:t>
            </w:r>
            <w:r w:rsidR="00477688">
              <w:rPr>
                <w:sz w:val="22"/>
                <w:szCs w:val="22"/>
              </w:rPr>
              <w:t xml:space="preserve"> </w:t>
            </w:r>
            <w:r w:rsidR="000255F8" w:rsidRPr="008963BF">
              <w:rPr>
                <w:sz w:val="22"/>
                <w:szCs w:val="22"/>
              </w:rPr>
              <w:t xml:space="preserve">è risultato (come meglio evidenziato </w:t>
            </w:r>
            <w:r w:rsidR="005010E6">
              <w:rPr>
                <w:sz w:val="22"/>
                <w:szCs w:val="22"/>
              </w:rPr>
              <w:t>nella tabella B</w:t>
            </w:r>
            <w:r w:rsidR="000255F8" w:rsidRPr="008963BF">
              <w:rPr>
                <w:sz w:val="22"/>
                <w:szCs w:val="22"/>
              </w:rPr>
              <w:t xml:space="preserve">) che </w:t>
            </w:r>
            <w:r w:rsidR="005B28A8">
              <w:rPr>
                <w:sz w:val="22"/>
                <w:szCs w:val="22"/>
              </w:rPr>
              <w:t>sono</w:t>
            </w:r>
            <w:r w:rsidR="00477688">
              <w:rPr>
                <w:sz w:val="22"/>
                <w:szCs w:val="22"/>
              </w:rPr>
              <w:t xml:space="preserve"> </w:t>
            </w:r>
            <w:r w:rsidR="00F650F1" w:rsidRPr="008963BF">
              <w:rPr>
                <w:sz w:val="22"/>
                <w:szCs w:val="22"/>
              </w:rPr>
              <w:t>i</w:t>
            </w:r>
            <w:r w:rsidR="00D21C0A">
              <w:rPr>
                <w:sz w:val="22"/>
                <w:szCs w:val="22"/>
              </w:rPr>
              <w:t>n numero esiguo (cifra percentuale 0,012)</w:t>
            </w:r>
            <w:r w:rsidR="00477688">
              <w:rPr>
                <w:sz w:val="22"/>
                <w:szCs w:val="22"/>
              </w:rPr>
              <w:t xml:space="preserve"> </w:t>
            </w:r>
            <w:r w:rsidR="00D21C0A">
              <w:rPr>
                <w:sz w:val="22"/>
                <w:szCs w:val="22"/>
              </w:rPr>
              <w:t>i</w:t>
            </w:r>
            <w:r w:rsidR="00F650F1" w:rsidRPr="008963BF">
              <w:rPr>
                <w:sz w:val="22"/>
                <w:szCs w:val="22"/>
              </w:rPr>
              <w:t xml:space="preserve"> casi</w:t>
            </w:r>
            <w:r w:rsidR="005B28A8">
              <w:rPr>
                <w:sz w:val="22"/>
                <w:szCs w:val="22"/>
              </w:rPr>
              <w:t xml:space="preserve"> in cui vi sono state varianti in</w:t>
            </w:r>
            <w:r w:rsidR="00477688">
              <w:rPr>
                <w:sz w:val="22"/>
                <w:szCs w:val="22"/>
              </w:rPr>
              <w:t xml:space="preserve"> </w:t>
            </w:r>
            <w:r w:rsidR="005B28A8">
              <w:rPr>
                <w:sz w:val="22"/>
                <w:szCs w:val="22"/>
              </w:rPr>
              <w:t>corso d’</w:t>
            </w:r>
            <w:r w:rsidR="00D21C0A">
              <w:rPr>
                <w:sz w:val="22"/>
                <w:szCs w:val="22"/>
              </w:rPr>
              <w:t>opera, in prevalenza interessanti</w:t>
            </w:r>
            <w:r w:rsidR="00477688">
              <w:rPr>
                <w:sz w:val="22"/>
                <w:szCs w:val="22"/>
              </w:rPr>
              <w:t xml:space="preserve"> </w:t>
            </w:r>
            <w:r w:rsidR="005B28A8">
              <w:rPr>
                <w:sz w:val="22"/>
                <w:szCs w:val="22"/>
              </w:rPr>
              <w:t>il Settore “tecnico”</w:t>
            </w:r>
            <w:r w:rsidR="00D43655">
              <w:rPr>
                <w:sz w:val="22"/>
                <w:szCs w:val="22"/>
              </w:rPr>
              <w:t>.</w:t>
            </w:r>
            <w:r w:rsidR="00477688">
              <w:rPr>
                <w:sz w:val="22"/>
                <w:szCs w:val="22"/>
              </w:rPr>
              <w:t xml:space="preserve"> </w:t>
            </w:r>
            <w:r w:rsidR="00D62D10">
              <w:rPr>
                <w:sz w:val="22"/>
                <w:szCs w:val="22"/>
              </w:rPr>
              <w:t>L’indicatore non tiene però conto del valore degli affidamenti e delle vari</w:t>
            </w:r>
            <w:r w:rsidR="00D12C91">
              <w:rPr>
                <w:sz w:val="22"/>
                <w:szCs w:val="22"/>
              </w:rPr>
              <w:t xml:space="preserve">anti , cioè dell’incidenza economica che le stesse hanno avuto. </w:t>
            </w:r>
            <w:r w:rsidR="00D21C0A">
              <w:rPr>
                <w:sz w:val="22"/>
                <w:szCs w:val="22"/>
              </w:rPr>
              <w:t>In conclusione il livello di rischio si giudica BASSO.</w:t>
            </w:r>
          </w:p>
        </w:tc>
        <w:tc>
          <w:tcPr>
            <w:tcW w:w="0" w:type="auto"/>
          </w:tcPr>
          <w:p w:rsidR="00DD5974" w:rsidRPr="008963BF" w:rsidRDefault="00D21C0A" w:rsidP="0098593C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Considerato che la probabilità che si verifichi il rischio è risulta</w:t>
            </w:r>
            <w:r>
              <w:rPr>
                <w:sz w:val="22"/>
                <w:szCs w:val="22"/>
              </w:rPr>
              <w:t xml:space="preserve">ta </w:t>
            </w:r>
            <w:r w:rsidR="0098593C">
              <w:rPr>
                <w:sz w:val="22"/>
                <w:szCs w:val="22"/>
              </w:rPr>
              <w:t>bassa</w:t>
            </w:r>
            <w:r>
              <w:rPr>
                <w:sz w:val="22"/>
                <w:szCs w:val="22"/>
              </w:rPr>
              <w:t>, non si procede a trattare il rischio, riservandosi di farlo per la stesura del PTPCT 2018/20</w:t>
            </w:r>
            <w:r w:rsidR="0011261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 con inclusione anche dei dati relativi al 2017</w:t>
            </w:r>
            <w:r w:rsidR="005A1605">
              <w:rPr>
                <w:sz w:val="22"/>
                <w:szCs w:val="22"/>
              </w:rPr>
              <w:t xml:space="preserve"> e del valore economico delle varianti.</w:t>
            </w:r>
          </w:p>
        </w:tc>
        <w:tc>
          <w:tcPr>
            <w:tcW w:w="0" w:type="auto"/>
          </w:tcPr>
          <w:p w:rsidR="00DD5974" w:rsidRPr="008963BF" w:rsidRDefault="005A1605" w:rsidP="000E6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vengono previste misure specifiche per le motivazioni riportate nella colonna 9.</w:t>
            </w:r>
          </w:p>
        </w:tc>
      </w:tr>
      <w:tr w:rsidR="00893891" w:rsidRPr="008963BF" w:rsidTr="00D66357">
        <w:tc>
          <w:tcPr>
            <w:tcW w:w="0" w:type="auto"/>
            <w:vMerge w:val="restart"/>
          </w:tcPr>
          <w:p w:rsidR="003C565D" w:rsidRPr="008963BF" w:rsidRDefault="003C565D" w:rsidP="000E610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6. Rendicontazione </w:t>
            </w:r>
          </w:p>
        </w:tc>
        <w:tc>
          <w:tcPr>
            <w:tcW w:w="0" w:type="auto"/>
          </w:tcPr>
          <w:p w:rsidR="003C565D" w:rsidRPr="008963BF" w:rsidRDefault="003C565D" w:rsidP="007B51DD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Numero dei contratti rendicontati nel biennio 2015-2016 per i quali si è riscontrato uno scostamento di costo </w:t>
            </w:r>
            <w:r w:rsidRPr="00E96AA7">
              <w:rPr>
                <w:sz w:val="22"/>
                <w:szCs w:val="22"/>
              </w:rPr>
              <w:t>rapportato</w:t>
            </w:r>
            <w:r w:rsidR="00E96AA7">
              <w:rPr>
                <w:sz w:val="22"/>
                <w:szCs w:val="22"/>
              </w:rPr>
              <w:t xml:space="preserve"> al n</w:t>
            </w:r>
            <w:r w:rsidRPr="008963BF">
              <w:rPr>
                <w:sz w:val="22"/>
                <w:szCs w:val="22"/>
              </w:rPr>
              <w:t xml:space="preserve">umero complessivo dei contratti rendicontati nel suddetto biennio </w:t>
            </w:r>
          </w:p>
        </w:tc>
        <w:tc>
          <w:tcPr>
            <w:tcW w:w="0" w:type="auto"/>
          </w:tcPr>
          <w:p w:rsidR="003C565D" w:rsidRPr="008963BF" w:rsidRDefault="003C565D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Al numeratore va indicato il numero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dei contratti terminati nel biennio 2015/2016 per i quali si è riscontrato un aumento di costo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 xml:space="preserve">rispetto al costo iniziale riportato nel contratto originario. </w:t>
            </w:r>
          </w:p>
          <w:p w:rsidR="003C565D" w:rsidRPr="008963BF" w:rsidRDefault="003C565D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Al denominatore va indicato il numero complessivo dei contratti terminati nel suddetto biennio. </w:t>
            </w:r>
          </w:p>
          <w:p w:rsidR="003C565D" w:rsidRPr="008963BF" w:rsidRDefault="003C565D" w:rsidP="0011261A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Per contratti terminati si </w:t>
            </w:r>
            <w:r w:rsidRPr="008963BF">
              <w:rPr>
                <w:sz w:val="22"/>
                <w:szCs w:val="22"/>
              </w:rPr>
              <w:lastRenderedPageBreak/>
              <w:t>intendono quei contratti per cui è stato emesso il certificato di collaudo o il certificato di regolare esecuzione o che comunque si sono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definitivamente conclusi senza ulteriori proroghe.</w:t>
            </w:r>
          </w:p>
        </w:tc>
        <w:tc>
          <w:tcPr>
            <w:tcW w:w="0" w:type="auto"/>
          </w:tcPr>
          <w:p w:rsidR="0011261A" w:rsidRDefault="003C565D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lastRenderedPageBreak/>
              <w:t>Lo scopo di questo indicatore è di verificare la percentuale di contratti che si concludono con un valore del costo finale maggiore rispetto al valore del costo iniziale.</w:t>
            </w:r>
          </w:p>
          <w:p w:rsidR="003C565D" w:rsidRPr="008963BF" w:rsidRDefault="0011261A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Un valore alto di tale </w:t>
            </w:r>
            <w:r>
              <w:rPr>
                <w:sz w:val="22"/>
                <w:szCs w:val="22"/>
              </w:rPr>
              <w:t>indicatore (superiore a 0,5</w:t>
            </w:r>
            <w:r w:rsidRPr="008963BF">
              <w:rPr>
                <w:sz w:val="22"/>
                <w:szCs w:val="22"/>
              </w:rPr>
              <w:t xml:space="preserve"> ) può essere sintomo di sistematico ricorso a varianti o proroghe che hanno lo scopo di avvantaggiare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l’originario contraente</w:t>
            </w:r>
            <w:r w:rsidR="003C565D" w:rsidRPr="008963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3C565D" w:rsidRPr="008963BF" w:rsidRDefault="00D12C91" w:rsidP="002B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D62D10">
              <w:rPr>
                <w:sz w:val="22"/>
                <w:szCs w:val="22"/>
              </w:rPr>
              <w:t>endicontazione del Servizio e</w:t>
            </w:r>
            <w:r>
              <w:rPr>
                <w:sz w:val="22"/>
                <w:szCs w:val="22"/>
              </w:rPr>
              <w:t>/o</w:t>
            </w:r>
            <w:r w:rsidR="00D62D10">
              <w:rPr>
                <w:sz w:val="22"/>
                <w:szCs w:val="22"/>
              </w:rPr>
              <w:t xml:space="preserve"> del lavoro </w:t>
            </w:r>
          </w:p>
        </w:tc>
        <w:tc>
          <w:tcPr>
            <w:tcW w:w="0" w:type="auto"/>
          </w:tcPr>
          <w:p w:rsidR="003C565D" w:rsidRPr="008963BF" w:rsidRDefault="00D62D10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fase</w:t>
            </w:r>
            <w:r w:rsidR="00AF613F">
              <w:rPr>
                <w:sz w:val="22"/>
                <w:szCs w:val="22"/>
              </w:rPr>
              <w:t xml:space="preserve"> esecutiva le effettive esigenze del lavoro/del servizio si rilevano maggiori/diverse da quelle previste nel progetto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3C565D" w:rsidRPr="008963BF" w:rsidRDefault="00AF613F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Carenze ed errori nella progettazione dei lavori</w:t>
            </w:r>
            <w:r w:rsidR="004776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dei servizi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009600"/>
          </w:tcPr>
          <w:p w:rsidR="003C565D" w:rsidRPr="008963BF" w:rsidRDefault="00521461" w:rsidP="00477688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Dall’esame del valore dell’indicatore, determinato sulla bas</w:t>
            </w:r>
            <w:r w:rsidR="005A1605">
              <w:rPr>
                <w:sz w:val="22"/>
                <w:szCs w:val="22"/>
              </w:rPr>
              <w:t>e dei dati forniti dai</w:t>
            </w:r>
            <w:r w:rsidR="00477688">
              <w:rPr>
                <w:sz w:val="22"/>
                <w:szCs w:val="22"/>
              </w:rPr>
              <w:t xml:space="preserve"> </w:t>
            </w:r>
            <w:r w:rsidR="005A1605">
              <w:rPr>
                <w:sz w:val="22"/>
                <w:szCs w:val="22"/>
              </w:rPr>
              <w:t>Responsabili</w:t>
            </w:r>
            <w:r w:rsidR="00477688">
              <w:rPr>
                <w:sz w:val="22"/>
                <w:szCs w:val="22"/>
              </w:rPr>
              <w:t xml:space="preserve"> </w:t>
            </w:r>
            <w:r w:rsidR="005A1605">
              <w:rPr>
                <w:sz w:val="22"/>
                <w:szCs w:val="22"/>
              </w:rPr>
              <w:t>di Settore</w:t>
            </w:r>
            <w:r w:rsidR="00F2570E" w:rsidRPr="008963BF">
              <w:rPr>
                <w:sz w:val="22"/>
                <w:szCs w:val="22"/>
              </w:rPr>
              <w:t>,</w:t>
            </w:r>
            <w:r w:rsidR="00477688">
              <w:rPr>
                <w:sz w:val="22"/>
                <w:szCs w:val="22"/>
              </w:rPr>
              <w:t xml:space="preserve"> </w:t>
            </w:r>
            <w:r w:rsidR="00F2570E" w:rsidRPr="008963BF">
              <w:rPr>
                <w:sz w:val="22"/>
                <w:szCs w:val="22"/>
              </w:rPr>
              <w:t xml:space="preserve">è risultato (come meglio evidenziato </w:t>
            </w:r>
            <w:r w:rsidR="005010E6">
              <w:rPr>
                <w:sz w:val="22"/>
                <w:szCs w:val="22"/>
              </w:rPr>
              <w:t>nella tabella B</w:t>
            </w:r>
            <w:r w:rsidR="004C6DC7">
              <w:rPr>
                <w:sz w:val="22"/>
                <w:szCs w:val="22"/>
              </w:rPr>
              <w:t xml:space="preserve">) che i </w:t>
            </w:r>
            <w:r w:rsidR="00F2570E" w:rsidRPr="008963BF">
              <w:rPr>
                <w:sz w:val="22"/>
                <w:szCs w:val="22"/>
              </w:rPr>
              <w:t>contratti che sono stati rendic</w:t>
            </w:r>
            <w:r w:rsidR="00AF613F">
              <w:rPr>
                <w:sz w:val="22"/>
                <w:szCs w:val="22"/>
              </w:rPr>
              <w:t>ontanti con un aumento di costo</w:t>
            </w:r>
            <w:r w:rsidR="004C6DC7">
              <w:rPr>
                <w:sz w:val="22"/>
                <w:szCs w:val="22"/>
              </w:rPr>
              <w:t xml:space="preserve"> sono pochissimi.</w:t>
            </w:r>
            <w:r w:rsidR="005A1605">
              <w:rPr>
                <w:sz w:val="22"/>
                <w:szCs w:val="22"/>
              </w:rPr>
              <w:t xml:space="preserve"> (cifra percentuale 0,06).</w:t>
            </w:r>
            <w:r w:rsidR="00F2570E" w:rsidRPr="008963BF">
              <w:rPr>
                <w:sz w:val="22"/>
                <w:szCs w:val="22"/>
              </w:rPr>
              <w:t xml:space="preserve"> </w:t>
            </w:r>
            <w:r w:rsidR="00AF613F">
              <w:rPr>
                <w:sz w:val="22"/>
                <w:szCs w:val="22"/>
              </w:rPr>
              <w:t xml:space="preserve">Pertanto si </w:t>
            </w:r>
            <w:r w:rsidR="00AF613F">
              <w:rPr>
                <w:sz w:val="22"/>
                <w:szCs w:val="22"/>
              </w:rPr>
              <w:lastRenderedPageBreak/>
              <w:t xml:space="preserve">ritiene che </w:t>
            </w:r>
            <w:r w:rsidR="007A2E12">
              <w:rPr>
                <w:sz w:val="22"/>
                <w:szCs w:val="22"/>
              </w:rPr>
              <w:t>il rischio</w:t>
            </w:r>
            <w:r w:rsidR="00AF613F">
              <w:rPr>
                <w:sz w:val="22"/>
                <w:szCs w:val="22"/>
              </w:rPr>
              <w:t xml:space="preserve"> </w:t>
            </w:r>
            <w:r w:rsidR="007A2E12">
              <w:rPr>
                <w:sz w:val="22"/>
                <w:szCs w:val="22"/>
              </w:rPr>
              <w:t xml:space="preserve">è di livello </w:t>
            </w:r>
            <w:r w:rsidR="00A27CDF">
              <w:rPr>
                <w:sz w:val="22"/>
                <w:szCs w:val="22"/>
              </w:rPr>
              <w:t>BASS</w:t>
            </w:r>
            <w:r w:rsidR="007A2E12">
              <w:rPr>
                <w:sz w:val="22"/>
                <w:szCs w:val="22"/>
              </w:rPr>
              <w:t>O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3C565D" w:rsidRPr="008963BF" w:rsidRDefault="00A27CDF" w:rsidP="003C2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Visto che la probabilità che si verifichi l’evento rischioso è risultata </w:t>
            </w:r>
            <w:r w:rsidR="005010E6">
              <w:rPr>
                <w:sz w:val="22"/>
                <w:szCs w:val="22"/>
              </w:rPr>
              <w:t>bassa</w:t>
            </w:r>
            <w:r w:rsidR="00C11834">
              <w:rPr>
                <w:sz w:val="22"/>
                <w:szCs w:val="22"/>
              </w:rPr>
              <w:t xml:space="preserve">, si ritiene di non dover trattare il rischio </w:t>
            </w:r>
          </w:p>
        </w:tc>
        <w:tc>
          <w:tcPr>
            <w:tcW w:w="0" w:type="auto"/>
          </w:tcPr>
          <w:p w:rsidR="003C565D" w:rsidRPr="008963BF" w:rsidRDefault="00C11834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vengono previste misure per le motivazioni indicate</w:t>
            </w:r>
            <w:r w:rsidR="004776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</w:t>
            </w:r>
            <w:r w:rsidR="005A1605">
              <w:rPr>
                <w:sz w:val="22"/>
                <w:szCs w:val="22"/>
              </w:rPr>
              <w:t>lla colonna</w:t>
            </w:r>
            <w:r w:rsidR="00477688">
              <w:rPr>
                <w:sz w:val="22"/>
                <w:szCs w:val="22"/>
              </w:rPr>
              <w:t xml:space="preserve"> </w:t>
            </w:r>
            <w:r w:rsidR="005010E6">
              <w:rPr>
                <w:sz w:val="22"/>
                <w:szCs w:val="22"/>
              </w:rPr>
              <w:t>9</w:t>
            </w:r>
          </w:p>
        </w:tc>
      </w:tr>
      <w:tr w:rsidR="00893891" w:rsidRPr="008963BF" w:rsidTr="00D66357">
        <w:tc>
          <w:tcPr>
            <w:tcW w:w="0" w:type="auto"/>
            <w:vMerge/>
          </w:tcPr>
          <w:p w:rsidR="00C11834" w:rsidRPr="008963BF" w:rsidRDefault="00C11834" w:rsidP="000E610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C11834" w:rsidRPr="008963BF" w:rsidRDefault="00C11834" w:rsidP="007B51DD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Numero dei contratti di lavori pubblici con scostamento in aumento del </w:t>
            </w:r>
            <w:proofErr w:type="spellStart"/>
            <w:r w:rsidRPr="008963BF">
              <w:rPr>
                <w:sz w:val="22"/>
                <w:szCs w:val="22"/>
              </w:rPr>
              <w:t>termpo</w:t>
            </w:r>
            <w:proofErr w:type="spellEnd"/>
            <w:r w:rsidRPr="008963BF">
              <w:rPr>
                <w:sz w:val="22"/>
                <w:szCs w:val="22"/>
              </w:rPr>
              <w:t xml:space="preserve"> di esecuzione rapportato al Numero complessivo dei contratti di lavori rendicontati nel biennio 2015/2016 </w:t>
            </w:r>
          </w:p>
        </w:tc>
        <w:tc>
          <w:tcPr>
            <w:tcW w:w="0" w:type="auto"/>
          </w:tcPr>
          <w:p w:rsidR="00C11834" w:rsidRPr="008963BF" w:rsidRDefault="00C11834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Al numeratore va indicato il numero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 xml:space="preserve">dei contratti terminati nel biennio 2015/2016 per i quali si è riscontrato un aumento del termine di esecuzione rispetto a quello previsto nel contratto originario. </w:t>
            </w:r>
          </w:p>
          <w:p w:rsidR="00C11834" w:rsidRPr="008963BF" w:rsidRDefault="00C11834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 xml:space="preserve">Al denominatore va indicato il numero complessivo dei contratti terminati nel suddetto biennio . </w:t>
            </w:r>
          </w:p>
          <w:p w:rsidR="00C11834" w:rsidRPr="008963BF" w:rsidRDefault="00C11834" w:rsidP="002B622E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Per contratti terminati si intendono quei contratti per cui è stato emesso il certificato di collaudo o il certificato di regolare esecuzione.</w:t>
            </w:r>
          </w:p>
          <w:p w:rsidR="00C11834" w:rsidRPr="008963BF" w:rsidRDefault="00C11834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Una valore alto di tale indicatore (</w:t>
            </w:r>
            <w:r w:rsidR="004C6DC7">
              <w:rPr>
                <w:sz w:val="22"/>
                <w:szCs w:val="22"/>
              </w:rPr>
              <w:t>superiore a 0,5</w:t>
            </w:r>
            <w:r w:rsidRPr="008963BF">
              <w:rPr>
                <w:sz w:val="22"/>
                <w:szCs w:val="22"/>
              </w:rPr>
              <w:t>) può essere sintomo di sistematico ricorso a proroghe dei termini di esecuzione per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mascherare inadempienze dell’appaltatore e non applicare le relative penali dovute in caso di ritardo</w:t>
            </w:r>
          </w:p>
        </w:tc>
        <w:tc>
          <w:tcPr>
            <w:tcW w:w="0" w:type="auto"/>
          </w:tcPr>
          <w:p w:rsidR="00C11834" w:rsidRPr="008963BF" w:rsidRDefault="00C11834" w:rsidP="00477688">
            <w:pPr>
              <w:rPr>
                <w:sz w:val="22"/>
                <w:szCs w:val="22"/>
              </w:rPr>
            </w:pPr>
            <w:r w:rsidRPr="008963BF">
              <w:rPr>
                <w:sz w:val="22"/>
                <w:szCs w:val="22"/>
              </w:rPr>
              <w:t>Lo scopo di questo indicatore è di verificare la percentuale di contratti che si concludono con un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>aumento dei tempi di esecuzione rispetto a quelli previsti inizialmente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C11834" w:rsidRPr="008963BF" w:rsidRDefault="004C6DC7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Rendicontazione di un lavoro pubblico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C11834" w:rsidRPr="008963BF" w:rsidRDefault="004C6DC7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il soggetto affidatario</w:t>
            </w:r>
            <w:r w:rsidR="00477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C11834" w:rsidRPr="008963BF" w:rsidRDefault="00C11834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Inottemperanza delle clausole contrattuali</w:t>
            </w:r>
            <w:r w:rsidR="004776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disciplinanti le penali </w:t>
            </w:r>
          </w:p>
        </w:tc>
        <w:tc>
          <w:tcPr>
            <w:tcW w:w="0" w:type="auto"/>
            <w:shd w:val="clear" w:color="auto" w:fill="009600"/>
          </w:tcPr>
          <w:p w:rsidR="00C11834" w:rsidRPr="008963BF" w:rsidRDefault="00C11834" w:rsidP="00477688">
            <w:pPr>
              <w:rPr>
                <w:sz w:val="22"/>
                <w:szCs w:val="22"/>
              </w:rPr>
            </w:pPr>
            <w:r w:rsidRPr="00521461">
              <w:rPr>
                <w:sz w:val="22"/>
                <w:szCs w:val="22"/>
              </w:rPr>
              <w:t>Dall’esame del valore dell’indicatore, determinato sulla bas</w:t>
            </w:r>
            <w:r w:rsidR="00966160">
              <w:rPr>
                <w:sz w:val="22"/>
                <w:szCs w:val="22"/>
              </w:rPr>
              <w:t>e dei dati forniti dai</w:t>
            </w:r>
            <w:r w:rsidR="00477688">
              <w:rPr>
                <w:sz w:val="22"/>
                <w:szCs w:val="22"/>
              </w:rPr>
              <w:t xml:space="preserve"> </w:t>
            </w:r>
            <w:r w:rsidR="005A1605">
              <w:rPr>
                <w:sz w:val="22"/>
                <w:szCs w:val="22"/>
              </w:rPr>
              <w:t>Responsabili</w:t>
            </w:r>
            <w:r w:rsidR="00477688">
              <w:rPr>
                <w:sz w:val="22"/>
                <w:szCs w:val="22"/>
              </w:rPr>
              <w:t xml:space="preserve"> </w:t>
            </w:r>
            <w:r w:rsidR="005A1605">
              <w:rPr>
                <w:sz w:val="22"/>
                <w:szCs w:val="22"/>
              </w:rPr>
              <w:t>di Settore,</w:t>
            </w:r>
            <w:r w:rsidR="00477688">
              <w:rPr>
                <w:sz w:val="22"/>
                <w:szCs w:val="22"/>
              </w:rPr>
              <w:t xml:space="preserve"> </w:t>
            </w:r>
            <w:r w:rsidRPr="008963BF">
              <w:rPr>
                <w:sz w:val="22"/>
                <w:szCs w:val="22"/>
              </w:rPr>
              <w:t xml:space="preserve">è risultato (come meglio evidenziato </w:t>
            </w:r>
            <w:r w:rsidR="005010E6">
              <w:rPr>
                <w:sz w:val="22"/>
                <w:szCs w:val="22"/>
              </w:rPr>
              <w:t>nella tabella B</w:t>
            </w:r>
            <w:r w:rsidR="005A1605">
              <w:rPr>
                <w:sz w:val="22"/>
                <w:szCs w:val="22"/>
              </w:rPr>
              <w:t>) che</w:t>
            </w:r>
            <w:r w:rsidR="00477688">
              <w:rPr>
                <w:sz w:val="22"/>
                <w:szCs w:val="22"/>
              </w:rPr>
              <w:t xml:space="preserve"> </w:t>
            </w:r>
            <w:r w:rsidR="005A1605">
              <w:rPr>
                <w:sz w:val="22"/>
                <w:szCs w:val="22"/>
              </w:rPr>
              <w:t>non vi sono</w:t>
            </w:r>
            <w:r w:rsidRPr="008963BF">
              <w:rPr>
                <w:sz w:val="22"/>
                <w:szCs w:val="22"/>
              </w:rPr>
              <w:t xml:space="preserve"> casi i</w:t>
            </w:r>
            <w:r w:rsidR="007C3DDF">
              <w:rPr>
                <w:sz w:val="22"/>
                <w:szCs w:val="22"/>
              </w:rPr>
              <w:t xml:space="preserve">n cui si sono registrati </w:t>
            </w:r>
            <w:r>
              <w:rPr>
                <w:sz w:val="22"/>
                <w:szCs w:val="22"/>
              </w:rPr>
              <w:t xml:space="preserve">aumenti di tempo nell’esecuzione dei contratti di lavori </w:t>
            </w:r>
            <w:r w:rsidRPr="008963BF">
              <w:rPr>
                <w:sz w:val="22"/>
                <w:szCs w:val="22"/>
              </w:rPr>
              <w:t xml:space="preserve">. </w:t>
            </w:r>
            <w:r w:rsidR="006B0A14">
              <w:rPr>
                <w:sz w:val="22"/>
                <w:szCs w:val="22"/>
              </w:rPr>
              <w:t>Pertanto</w:t>
            </w:r>
            <w:r w:rsidR="00477688">
              <w:rPr>
                <w:sz w:val="22"/>
                <w:szCs w:val="22"/>
              </w:rPr>
              <w:t xml:space="preserve"> </w:t>
            </w:r>
            <w:r w:rsidR="007A2E12">
              <w:rPr>
                <w:sz w:val="22"/>
                <w:szCs w:val="22"/>
              </w:rPr>
              <w:t>il rischio</w:t>
            </w:r>
            <w:r w:rsidR="00B16C8F">
              <w:rPr>
                <w:sz w:val="22"/>
                <w:szCs w:val="22"/>
              </w:rPr>
              <w:t xml:space="preserve"> </w:t>
            </w:r>
            <w:r w:rsidR="007A2E12">
              <w:rPr>
                <w:sz w:val="22"/>
                <w:szCs w:val="22"/>
              </w:rPr>
              <w:t>è</w:t>
            </w:r>
            <w:r w:rsidR="006B0A14">
              <w:rPr>
                <w:sz w:val="22"/>
                <w:szCs w:val="22"/>
              </w:rPr>
              <w:t xml:space="preserve"> oggettivamente</w:t>
            </w:r>
            <w:r w:rsidR="007A2E12">
              <w:rPr>
                <w:sz w:val="22"/>
                <w:szCs w:val="22"/>
              </w:rPr>
              <w:t xml:space="preserve"> di livello</w:t>
            </w:r>
            <w:r w:rsidR="004C6DC7">
              <w:rPr>
                <w:sz w:val="22"/>
                <w:szCs w:val="22"/>
              </w:rPr>
              <w:t xml:space="preserve"> </w:t>
            </w:r>
            <w:r w:rsidR="00B16C8F">
              <w:rPr>
                <w:sz w:val="22"/>
                <w:szCs w:val="22"/>
              </w:rPr>
              <w:t>BASS</w:t>
            </w:r>
            <w:r w:rsidR="007A2E12">
              <w:rPr>
                <w:sz w:val="22"/>
                <w:szCs w:val="22"/>
              </w:rPr>
              <w:t>O</w:t>
            </w:r>
            <w:r w:rsidR="006B0A14">
              <w:rPr>
                <w:sz w:val="22"/>
                <w:szCs w:val="22"/>
              </w:rPr>
              <w:t>, se non</w:t>
            </w:r>
            <w:r w:rsidR="00477688">
              <w:rPr>
                <w:sz w:val="22"/>
                <w:szCs w:val="22"/>
              </w:rPr>
              <w:t xml:space="preserve"> </w:t>
            </w:r>
            <w:r w:rsidR="006B0A14">
              <w:rPr>
                <w:sz w:val="22"/>
                <w:szCs w:val="22"/>
              </w:rPr>
              <w:t>INES</w:t>
            </w:r>
            <w:r w:rsidR="006B0A14" w:rsidRPr="0094670A">
              <w:rPr>
                <w:sz w:val="22"/>
                <w:szCs w:val="22"/>
              </w:rPr>
              <w:t>ISTEN</w:t>
            </w:r>
            <w:r w:rsidR="006B0A14">
              <w:rPr>
                <w:sz w:val="22"/>
                <w:szCs w:val="22"/>
              </w:rPr>
              <w:t>TE</w:t>
            </w:r>
            <w:r w:rsidR="00B16C8F" w:rsidRPr="008963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C11834" w:rsidRPr="008963BF" w:rsidRDefault="00C11834" w:rsidP="007E4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Visto che la probabilità che si verifichi l’even</w:t>
            </w:r>
            <w:r w:rsidR="005010E6">
              <w:rPr>
                <w:sz w:val="22"/>
                <w:szCs w:val="22"/>
              </w:rPr>
              <w:t xml:space="preserve">to rischioso è risultata bassa o inesistente </w:t>
            </w:r>
            <w:r w:rsidR="007C3D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si ritiene di non dover trattare il rischio </w:t>
            </w:r>
          </w:p>
        </w:tc>
        <w:tc>
          <w:tcPr>
            <w:tcW w:w="0" w:type="auto"/>
          </w:tcPr>
          <w:p w:rsidR="00C11834" w:rsidRPr="008963BF" w:rsidRDefault="00C11834" w:rsidP="00477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vengono previste misure per le motivazioni indicate</w:t>
            </w:r>
            <w:r w:rsidR="00477688">
              <w:rPr>
                <w:sz w:val="22"/>
                <w:szCs w:val="22"/>
              </w:rPr>
              <w:t xml:space="preserve"> </w:t>
            </w:r>
            <w:r w:rsidR="005A1605">
              <w:rPr>
                <w:sz w:val="22"/>
                <w:szCs w:val="22"/>
              </w:rPr>
              <w:t xml:space="preserve">nella colonna </w:t>
            </w:r>
            <w:r w:rsidR="005010E6">
              <w:rPr>
                <w:sz w:val="22"/>
                <w:szCs w:val="22"/>
              </w:rPr>
              <w:t>9</w:t>
            </w:r>
          </w:p>
        </w:tc>
      </w:tr>
    </w:tbl>
    <w:p w:rsidR="009516E0" w:rsidRPr="008963BF" w:rsidRDefault="009516E0" w:rsidP="009516E0">
      <w:pPr>
        <w:rPr>
          <w:sz w:val="22"/>
          <w:szCs w:val="22"/>
        </w:rPr>
      </w:pPr>
    </w:p>
    <w:sectPr w:rsidR="009516E0" w:rsidRPr="008963BF" w:rsidSect="00A55E14">
      <w:footerReference w:type="even" r:id="rId7"/>
      <w:footerReference w:type="default" r:id="rId8"/>
      <w:pgSz w:w="23814" w:h="16840" w:orient="landscape" w:code="8"/>
      <w:pgMar w:top="1474" w:right="1418" w:bottom="147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67" w:rsidRDefault="00BE2F67">
      <w:r>
        <w:separator/>
      </w:r>
    </w:p>
  </w:endnote>
  <w:endnote w:type="continuationSeparator" w:id="0">
    <w:p w:rsidR="00BE2F67" w:rsidRDefault="00BE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AE" w:rsidRDefault="0054378A" w:rsidP="009A7B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51A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51AE" w:rsidRDefault="00BD51AE" w:rsidP="000D194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AE" w:rsidRDefault="00BD51AE" w:rsidP="00AF1291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67" w:rsidRDefault="00BE2F67">
      <w:r>
        <w:separator/>
      </w:r>
    </w:p>
  </w:footnote>
  <w:footnote w:type="continuationSeparator" w:id="0">
    <w:p w:rsidR="00BE2F67" w:rsidRDefault="00BE2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0277430A"/>
    <w:multiLevelType w:val="hybridMultilevel"/>
    <w:tmpl w:val="4516D0F2"/>
    <w:lvl w:ilvl="0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03FD2F3D"/>
    <w:multiLevelType w:val="hybridMultilevel"/>
    <w:tmpl w:val="7FDA5562"/>
    <w:lvl w:ilvl="0" w:tplc="C6D0BA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50E"/>
    <w:multiLevelType w:val="hybridMultilevel"/>
    <w:tmpl w:val="E828D9DC"/>
    <w:lvl w:ilvl="0" w:tplc="4F027D2E">
      <w:start w:val="1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0C066EEF"/>
    <w:multiLevelType w:val="hybridMultilevel"/>
    <w:tmpl w:val="0F104538"/>
    <w:lvl w:ilvl="0" w:tplc="3738EA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CC37DB"/>
    <w:multiLevelType w:val="hybridMultilevel"/>
    <w:tmpl w:val="8458B31C"/>
    <w:lvl w:ilvl="0" w:tplc="C6A0893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8634A"/>
    <w:multiLevelType w:val="hybridMultilevel"/>
    <w:tmpl w:val="4F28119E"/>
    <w:lvl w:ilvl="0" w:tplc="D1CE5CD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00B92"/>
    <w:multiLevelType w:val="hybridMultilevel"/>
    <w:tmpl w:val="00E837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E96B76"/>
    <w:multiLevelType w:val="hybridMultilevel"/>
    <w:tmpl w:val="D4A429E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FE158C"/>
    <w:multiLevelType w:val="hybridMultilevel"/>
    <w:tmpl w:val="809C802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276EC"/>
    <w:multiLevelType w:val="hybridMultilevel"/>
    <w:tmpl w:val="F95CC84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42651E"/>
    <w:multiLevelType w:val="hybridMultilevel"/>
    <w:tmpl w:val="163C7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E7755"/>
    <w:multiLevelType w:val="hybridMultilevel"/>
    <w:tmpl w:val="982EB42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943DFF"/>
    <w:multiLevelType w:val="hybridMultilevel"/>
    <w:tmpl w:val="4370AD8A"/>
    <w:lvl w:ilvl="0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>
    <w:nsid w:val="32953A9A"/>
    <w:multiLevelType w:val="hybridMultilevel"/>
    <w:tmpl w:val="43A45A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857269"/>
    <w:multiLevelType w:val="hybridMultilevel"/>
    <w:tmpl w:val="F9D26FF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D85C3B"/>
    <w:multiLevelType w:val="hybridMultilevel"/>
    <w:tmpl w:val="2DC668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5E21FC"/>
    <w:multiLevelType w:val="hybridMultilevel"/>
    <w:tmpl w:val="07F0C06E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DA07681"/>
    <w:multiLevelType w:val="hybridMultilevel"/>
    <w:tmpl w:val="EE4C5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144258"/>
    <w:multiLevelType w:val="hybridMultilevel"/>
    <w:tmpl w:val="C17E77D8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BC16FBE"/>
    <w:multiLevelType w:val="hybridMultilevel"/>
    <w:tmpl w:val="861EB776"/>
    <w:lvl w:ilvl="0" w:tplc="9006CBD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44A66"/>
    <w:multiLevelType w:val="hybridMultilevel"/>
    <w:tmpl w:val="EBEA0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29717F"/>
    <w:multiLevelType w:val="hybridMultilevel"/>
    <w:tmpl w:val="102E26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25102"/>
    <w:multiLevelType w:val="hybridMultilevel"/>
    <w:tmpl w:val="55CA77D2"/>
    <w:lvl w:ilvl="0" w:tplc="9B20B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1C6BC9"/>
    <w:multiLevelType w:val="hybridMultilevel"/>
    <w:tmpl w:val="8EC49F9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3"/>
  </w:num>
  <w:num w:numId="5">
    <w:abstractNumId w:val="12"/>
  </w:num>
  <w:num w:numId="6">
    <w:abstractNumId w:val="5"/>
  </w:num>
  <w:num w:numId="7">
    <w:abstractNumId w:val="18"/>
  </w:num>
  <w:num w:numId="8">
    <w:abstractNumId w:val="20"/>
  </w:num>
  <w:num w:numId="9">
    <w:abstractNumId w:val="14"/>
  </w:num>
  <w:num w:numId="10">
    <w:abstractNumId w:val="9"/>
  </w:num>
  <w:num w:numId="11">
    <w:abstractNumId w:val="16"/>
  </w:num>
  <w:num w:numId="12">
    <w:abstractNumId w:val="19"/>
  </w:num>
  <w:num w:numId="13">
    <w:abstractNumId w:val="23"/>
  </w:num>
  <w:num w:numId="14">
    <w:abstractNumId w:val="2"/>
  </w:num>
  <w:num w:numId="15">
    <w:abstractNumId w:val="11"/>
  </w:num>
  <w:num w:numId="16">
    <w:abstractNumId w:val="25"/>
  </w:num>
  <w:num w:numId="17">
    <w:abstractNumId w:val="10"/>
  </w:num>
  <w:num w:numId="18">
    <w:abstractNumId w:val="8"/>
  </w:num>
  <w:num w:numId="19">
    <w:abstractNumId w:val="22"/>
  </w:num>
  <w:num w:numId="20">
    <w:abstractNumId w:val="17"/>
  </w:num>
  <w:num w:numId="21">
    <w:abstractNumId w:val="15"/>
  </w:num>
  <w:num w:numId="22">
    <w:abstractNumId w:val="21"/>
  </w:num>
  <w:num w:numId="23">
    <w:abstractNumId w:val="7"/>
  </w:num>
  <w:num w:numId="24">
    <w:abstractNumId w:val="6"/>
  </w:num>
  <w:num w:numId="25">
    <w:abstractNumId w:val="3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F1291"/>
    <w:rsid w:val="00004D73"/>
    <w:rsid w:val="00010E64"/>
    <w:rsid w:val="000214D8"/>
    <w:rsid w:val="00022712"/>
    <w:rsid w:val="000255F8"/>
    <w:rsid w:val="00034E8A"/>
    <w:rsid w:val="000500E8"/>
    <w:rsid w:val="00062076"/>
    <w:rsid w:val="000641EA"/>
    <w:rsid w:val="00075B80"/>
    <w:rsid w:val="0007658E"/>
    <w:rsid w:val="0008212A"/>
    <w:rsid w:val="00084187"/>
    <w:rsid w:val="00096BBD"/>
    <w:rsid w:val="000B79C8"/>
    <w:rsid w:val="000D194B"/>
    <w:rsid w:val="000E6108"/>
    <w:rsid w:val="000E6223"/>
    <w:rsid w:val="000F30AD"/>
    <w:rsid w:val="000F5555"/>
    <w:rsid w:val="000F7F14"/>
    <w:rsid w:val="00100363"/>
    <w:rsid w:val="0010442A"/>
    <w:rsid w:val="00110A50"/>
    <w:rsid w:val="0011261A"/>
    <w:rsid w:val="00114265"/>
    <w:rsid w:val="00120CE0"/>
    <w:rsid w:val="00126AC0"/>
    <w:rsid w:val="00133D1D"/>
    <w:rsid w:val="00135FE9"/>
    <w:rsid w:val="00143D5D"/>
    <w:rsid w:val="00150F52"/>
    <w:rsid w:val="00153703"/>
    <w:rsid w:val="001570DB"/>
    <w:rsid w:val="00166C89"/>
    <w:rsid w:val="0017010D"/>
    <w:rsid w:val="0017012E"/>
    <w:rsid w:val="00172884"/>
    <w:rsid w:val="00172E3F"/>
    <w:rsid w:val="00181113"/>
    <w:rsid w:val="00182DE4"/>
    <w:rsid w:val="001837BB"/>
    <w:rsid w:val="00184D05"/>
    <w:rsid w:val="001869D2"/>
    <w:rsid w:val="001929DF"/>
    <w:rsid w:val="00194CD0"/>
    <w:rsid w:val="00195941"/>
    <w:rsid w:val="00195947"/>
    <w:rsid w:val="001A26AF"/>
    <w:rsid w:val="001C598B"/>
    <w:rsid w:val="001E7AF3"/>
    <w:rsid w:val="001F7B7C"/>
    <w:rsid w:val="00202B8E"/>
    <w:rsid w:val="00203987"/>
    <w:rsid w:val="00203C0C"/>
    <w:rsid w:val="002145E9"/>
    <w:rsid w:val="00215240"/>
    <w:rsid w:val="00224B4E"/>
    <w:rsid w:val="00225FBA"/>
    <w:rsid w:val="00240BB3"/>
    <w:rsid w:val="002535B8"/>
    <w:rsid w:val="0025476F"/>
    <w:rsid w:val="00260BBF"/>
    <w:rsid w:val="00263E45"/>
    <w:rsid w:val="002657D9"/>
    <w:rsid w:val="00266CF1"/>
    <w:rsid w:val="00277CBB"/>
    <w:rsid w:val="00283295"/>
    <w:rsid w:val="00283765"/>
    <w:rsid w:val="002849E9"/>
    <w:rsid w:val="00286398"/>
    <w:rsid w:val="002B18F7"/>
    <w:rsid w:val="002B622E"/>
    <w:rsid w:val="002B7C21"/>
    <w:rsid w:val="002C09F1"/>
    <w:rsid w:val="002D0F58"/>
    <w:rsid w:val="002F64D3"/>
    <w:rsid w:val="00305388"/>
    <w:rsid w:val="003141C8"/>
    <w:rsid w:val="00321D69"/>
    <w:rsid w:val="00325040"/>
    <w:rsid w:val="0033317D"/>
    <w:rsid w:val="003338D2"/>
    <w:rsid w:val="00333D1F"/>
    <w:rsid w:val="00334112"/>
    <w:rsid w:val="00337D83"/>
    <w:rsid w:val="00340C72"/>
    <w:rsid w:val="00345686"/>
    <w:rsid w:val="003564B3"/>
    <w:rsid w:val="003650AE"/>
    <w:rsid w:val="00386A0E"/>
    <w:rsid w:val="00394139"/>
    <w:rsid w:val="003A27DC"/>
    <w:rsid w:val="003B2543"/>
    <w:rsid w:val="003B48EA"/>
    <w:rsid w:val="003C21A5"/>
    <w:rsid w:val="003C565D"/>
    <w:rsid w:val="003C7C52"/>
    <w:rsid w:val="003E20E3"/>
    <w:rsid w:val="003E56A4"/>
    <w:rsid w:val="003E65C3"/>
    <w:rsid w:val="003F5781"/>
    <w:rsid w:val="00405323"/>
    <w:rsid w:val="00406899"/>
    <w:rsid w:val="00406972"/>
    <w:rsid w:val="00415F86"/>
    <w:rsid w:val="0042686B"/>
    <w:rsid w:val="00431B79"/>
    <w:rsid w:val="004553A8"/>
    <w:rsid w:val="00455FB7"/>
    <w:rsid w:val="004562C9"/>
    <w:rsid w:val="00460EA4"/>
    <w:rsid w:val="00462080"/>
    <w:rsid w:val="00465816"/>
    <w:rsid w:val="00470467"/>
    <w:rsid w:val="00470DE9"/>
    <w:rsid w:val="0047174F"/>
    <w:rsid w:val="004756C6"/>
    <w:rsid w:val="00477688"/>
    <w:rsid w:val="00480076"/>
    <w:rsid w:val="004823FC"/>
    <w:rsid w:val="00482A12"/>
    <w:rsid w:val="0048459F"/>
    <w:rsid w:val="00484756"/>
    <w:rsid w:val="0048519B"/>
    <w:rsid w:val="004A2C69"/>
    <w:rsid w:val="004B03D6"/>
    <w:rsid w:val="004B52AC"/>
    <w:rsid w:val="004C095C"/>
    <w:rsid w:val="004C158B"/>
    <w:rsid w:val="004C1978"/>
    <w:rsid w:val="004C6DC7"/>
    <w:rsid w:val="004D1FDA"/>
    <w:rsid w:val="004D2B4C"/>
    <w:rsid w:val="004D6B73"/>
    <w:rsid w:val="004F5F31"/>
    <w:rsid w:val="004F7623"/>
    <w:rsid w:val="005010E6"/>
    <w:rsid w:val="0050119B"/>
    <w:rsid w:val="00502933"/>
    <w:rsid w:val="0050532A"/>
    <w:rsid w:val="00505FF1"/>
    <w:rsid w:val="005152D5"/>
    <w:rsid w:val="00515BB2"/>
    <w:rsid w:val="00521461"/>
    <w:rsid w:val="00521DFD"/>
    <w:rsid w:val="00540734"/>
    <w:rsid w:val="00542B69"/>
    <w:rsid w:val="0054378A"/>
    <w:rsid w:val="00553C08"/>
    <w:rsid w:val="00574B87"/>
    <w:rsid w:val="0057784A"/>
    <w:rsid w:val="00582F00"/>
    <w:rsid w:val="00585BCE"/>
    <w:rsid w:val="005A1605"/>
    <w:rsid w:val="005A5004"/>
    <w:rsid w:val="005A7DFC"/>
    <w:rsid w:val="005B28A8"/>
    <w:rsid w:val="005B728A"/>
    <w:rsid w:val="005C210A"/>
    <w:rsid w:val="005D5B4B"/>
    <w:rsid w:val="005F2204"/>
    <w:rsid w:val="005F5277"/>
    <w:rsid w:val="005F6A92"/>
    <w:rsid w:val="00605E33"/>
    <w:rsid w:val="0062337C"/>
    <w:rsid w:val="00636462"/>
    <w:rsid w:val="0068115C"/>
    <w:rsid w:val="00683ACE"/>
    <w:rsid w:val="00685699"/>
    <w:rsid w:val="00695562"/>
    <w:rsid w:val="006A4208"/>
    <w:rsid w:val="006A6900"/>
    <w:rsid w:val="006B0187"/>
    <w:rsid w:val="006B0A14"/>
    <w:rsid w:val="006B4201"/>
    <w:rsid w:val="006B6F8C"/>
    <w:rsid w:val="006D27BB"/>
    <w:rsid w:val="006E2937"/>
    <w:rsid w:val="006F0EE3"/>
    <w:rsid w:val="006F1AEF"/>
    <w:rsid w:val="006F7A03"/>
    <w:rsid w:val="00703E5D"/>
    <w:rsid w:val="00706602"/>
    <w:rsid w:val="0071021D"/>
    <w:rsid w:val="0071178C"/>
    <w:rsid w:val="007161EE"/>
    <w:rsid w:val="00724401"/>
    <w:rsid w:val="007301DF"/>
    <w:rsid w:val="00743688"/>
    <w:rsid w:val="00746DDC"/>
    <w:rsid w:val="007766D4"/>
    <w:rsid w:val="007A2E12"/>
    <w:rsid w:val="007A7EAB"/>
    <w:rsid w:val="007B19A0"/>
    <w:rsid w:val="007B2A18"/>
    <w:rsid w:val="007B39C9"/>
    <w:rsid w:val="007B51DD"/>
    <w:rsid w:val="007C2A5D"/>
    <w:rsid w:val="007C3DDF"/>
    <w:rsid w:val="007D6907"/>
    <w:rsid w:val="007E42F2"/>
    <w:rsid w:val="007E4C73"/>
    <w:rsid w:val="007E5CEE"/>
    <w:rsid w:val="007F2E09"/>
    <w:rsid w:val="007F5DF1"/>
    <w:rsid w:val="008004CC"/>
    <w:rsid w:val="00811BB7"/>
    <w:rsid w:val="008156AA"/>
    <w:rsid w:val="008224E9"/>
    <w:rsid w:val="00830D72"/>
    <w:rsid w:val="008442E5"/>
    <w:rsid w:val="008476AD"/>
    <w:rsid w:val="00862D18"/>
    <w:rsid w:val="008766CD"/>
    <w:rsid w:val="008824BB"/>
    <w:rsid w:val="00890E15"/>
    <w:rsid w:val="00893891"/>
    <w:rsid w:val="008963BF"/>
    <w:rsid w:val="008A572C"/>
    <w:rsid w:val="008A73E8"/>
    <w:rsid w:val="008B1497"/>
    <w:rsid w:val="008C0C35"/>
    <w:rsid w:val="008C49AB"/>
    <w:rsid w:val="008D54C9"/>
    <w:rsid w:val="008E3A54"/>
    <w:rsid w:val="008E6BB4"/>
    <w:rsid w:val="008E75D8"/>
    <w:rsid w:val="00905B0F"/>
    <w:rsid w:val="009124C0"/>
    <w:rsid w:val="00914C4F"/>
    <w:rsid w:val="009179E4"/>
    <w:rsid w:val="00923202"/>
    <w:rsid w:val="00924663"/>
    <w:rsid w:val="00935FD2"/>
    <w:rsid w:val="009372BC"/>
    <w:rsid w:val="0094670A"/>
    <w:rsid w:val="00951639"/>
    <w:rsid w:val="009516E0"/>
    <w:rsid w:val="009546CA"/>
    <w:rsid w:val="00957C73"/>
    <w:rsid w:val="00961301"/>
    <w:rsid w:val="00966160"/>
    <w:rsid w:val="00977D9F"/>
    <w:rsid w:val="0098593C"/>
    <w:rsid w:val="009A0586"/>
    <w:rsid w:val="009A21DC"/>
    <w:rsid w:val="009A7B44"/>
    <w:rsid w:val="009B147D"/>
    <w:rsid w:val="009D09C6"/>
    <w:rsid w:val="009D6190"/>
    <w:rsid w:val="009E1B64"/>
    <w:rsid w:val="009E353D"/>
    <w:rsid w:val="009E45EB"/>
    <w:rsid w:val="009E4C57"/>
    <w:rsid w:val="009E5BDF"/>
    <w:rsid w:val="009F58FD"/>
    <w:rsid w:val="00A00316"/>
    <w:rsid w:val="00A00F1F"/>
    <w:rsid w:val="00A128E8"/>
    <w:rsid w:val="00A12D52"/>
    <w:rsid w:val="00A237A7"/>
    <w:rsid w:val="00A27CDF"/>
    <w:rsid w:val="00A32CCD"/>
    <w:rsid w:val="00A3701A"/>
    <w:rsid w:val="00A55E14"/>
    <w:rsid w:val="00A72081"/>
    <w:rsid w:val="00A74687"/>
    <w:rsid w:val="00A90131"/>
    <w:rsid w:val="00A91EDE"/>
    <w:rsid w:val="00AA04BB"/>
    <w:rsid w:val="00AA1200"/>
    <w:rsid w:val="00AA7682"/>
    <w:rsid w:val="00AD18AF"/>
    <w:rsid w:val="00AD576E"/>
    <w:rsid w:val="00AE5C8A"/>
    <w:rsid w:val="00AF1291"/>
    <w:rsid w:val="00AF3AB4"/>
    <w:rsid w:val="00AF5489"/>
    <w:rsid w:val="00AF553B"/>
    <w:rsid w:val="00AF613F"/>
    <w:rsid w:val="00B0342F"/>
    <w:rsid w:val="00B0469F"/>
    <w:rsid w:val="00B14867"/>
    <w:rsid w:val="00B16C8F"/>
    <w:rsid w:val="00B22EA8"/>
    <w:rsid w:val="00B42E0B"/>
    <w:rsid w:val="00B44BA3"/>
    <w:rsid w:val="00B65FEE"/>
    <w:rsid w:val="00B7190D"/>
    <w:rsid w:val="00B87EF2"/>
    <w:rsid w:val="00BA2BA6"/>
    <w:rsid w:val="00BA4047"/>
    <w:rsid w:val="00BA590D"/>
    <w:rsid w:val="00BB0045"/>
    <w:rsid w:val="00BB16C5"/>
    <w:rsid w:val="00BC4186"/>
    <w:rsid w:val="00BD51AE"/>
    <w:rsid w:val="00BE2F67"/>
    <w:rsid w:val="00BE587B"/>
    <w:rsid w:val="00BE6E49"/>
    <w:rsid w:val="00C009AE"/>
    <w:rsid w:val="00C05958"/>
    <w:rsid w:val="00C11834"/>
    <w:rsid w:val="00C124EC"/>
    <w:rsid w:val="00C15AEA"/>
    <w:rsid w:val="00C15C6E"/>
    <w:rsid w:val="00C17382"/>
    <w:rsid w:val="00C408B6"/>
    <w:rsid w:val="00C421E6"/>
    <w:rsid w:val="00C42361"/>
    <w:rsid w:val="00C47E26"/>
    <w:rsid w:val="00C52D89"/>
    <w:rsid w:val="00C610A9"/>
    <w:rsid w:val="00C84524"/>
    <w:rsid w:val="00C873BB"/>
    <w:rsid w:val="00C94876"/>
    <w:rsid w:val="00C97105"/>
    <w:rsid w:val="00CA26F9"/>
    <w:rsid w:val="00CA5F99"/>
    <w:rsid w:val="00CB4ED8"/>
    <w:rsid w:val="00CB5CBF"/>
    <w:rsid w:val="00CC59EA"/>
    <w:rsid w:val="00CC7488"/>
    <w:rsid w:val="00CD256B"/>
    <w:rsid w:val="00CD46F1"/>
    <w:rsid w:val="00CD773A"/>
    <w:rsid w:val="00CE58A3"/>
    <w:rsid w:val="00CF043A"/>
    <w:rsid w:val="00CF1B57"/>
    <w:rsid w:val="00CF5EA9"/>
    <w:rsid w:val="00CF62D7"/>
    <w:rsid w:val="00CF7533"/>
    <w:rsid w:val="00D022F7"/>
    <w:rsid w:val="00D06569"/>
    <w:rsid w:val="00D1134D"/>
    <w:rsid w:val="00D12C91"/>
    <w:rsid w:val="00D150D7"/>
    <w:rsid w:val="00D21C0A"/>
    <w:rsid w:val="00D228E6"/>
    <w:rsid w:val="00D341BB"/>
    <w:rsid w:val="00D43655"/>
    <w:rsid w:val="00D55A09"/>
    <w:rsid w:val="00D62D10"/>
    <w:rsid w:val="00D631C4"/>
    <w:rsid w:val="00D66357"/>
    <w:rsid w:val="00D67F3D"/>
    <w:rsid w:val="00D67F8C"/>
    <w:rsid w:val="00D76261"/>
    <w:rsid w:val="00D77231"/>
    <w:rsid w:val="00D7768F"/>
    <w:rsid w:val="00D80386"/>
    <w:rsid w:val="00D85399"/>
    <w:rsid w:val="00D905B9"/>
    <w:rsid w:val="00DA364B"/>
    <w:rsid w:val="00DA58F4"/>
    <w:rsid w:val="00DB5179"/>
    <w:rsid w:val="00DD06B4"/>
    <w:rsid w:val="00DD5974"/>
    <w:rsid w:val="00DD7BE5"/>
    <w:rsid w:val="00DE035D"/>
    <w:rsid w:val="00DE41AE"/>
    <w:rsid w:val="00DE6317"/>
    <w:rsid w:val="00DF6533"/>
    <w:rsid w:val="00E0211B"/>
    <w:rsid w:val="00E11106"/>
    <w:rsid w:val="00E1195D"/>
    <w:rsid w:val="00E136F4"/>
    <w:rsid w:val="00E165DC"/>
    <w:rsid w:val="00E22A9D"/>
    <w:rsid w:val="00E23BEF"/>
    <w:rsid w:val="00E23C98"/>
    <w:rsid w:val="00E270AE"/>
    <w:rsid w:val="00E30930"/>
    <w:rsid w:val="00E413C2"/>
    <w:rsid w:val="00E455FD"/>
    <w:rsid w:val="00E554CB"/>
    <w:rsid w:val="00E648AE"/>
    <w:rsid w:val="00E73B08"/>
    <w:rsid w:val="00E8021B"/>
    <w:rsid w:val="00E81096"/>
    <w:rsid w:val="00E85CC1"/>
    <w:rsid w:val="00E92853"/>
    <w:rsid w:val="00E96AA7"/>
    <w:rsid w:val="00EB1D62"/>
    <w:rsid w:val="00ED0108"/>
    <w:rsid w:val="00ED2AD8"/>
    <w:rsid w:val="00ED65AA"/>
    <w:rsid w:val="00EF0D8F"/>
    <w:rsid w:val="00EF6A21"/>
    <w:rsid w:val="00F13740"/>
    <w:rsid w:val="00F24F3B"/>
    <w:rsid w:val="00F2570E"/>
    <w:rsid w:val="00F43FD2"/>
    <w:rsid w:val="00F44E15"/>
    <w:rsid w:val="00F54482"/>
    <w:rsid w:val="00F57785"/>
    <w:rsid w:val="00F61344"/>
    <w:rsid w:val="00F632E3"/>
    <w:rsid w:val="00F650F1"/>
    <w:rsid w:val="00F71FC2"/>
    <w:rsid w:val="00F80FA8"/>
    <w:rsid w:val="00F81C2E"/>
    <w:rsid w:val="00F86A79"/>
    <w:rsid w:val="00F91679"/>
    <w:rsid w:val="00F97BB5"/>
    <w:rsid w:val="00FA0DDC"/>
    <w:rsid w:val="00FA5638"/>
    <w:rsid w:val="00FA66D8"/>
    <w:rsid w:val="00FB4ADF"/>
    <w:rsid w:val="00FB631D"/>
    <w:rsid w:val="00FC6773"/>
    <w:rsid w:val="00FD6189"/>
    <w:rsid w:val="00FD63C3"/>
    <w:rsid w:val="00FE4174"/>
    <w:rsid w:val="00FE64C3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631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F1291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rsid w:val="00AF1291"/>
    <w:pPr>
      <w:tabs>
        <w:tab w:val="center" w:pos="4986"/>
        <w:tab w:val="right" w:pos="9972"/>
      </w:tabs>
    </w:pPr>
  </w:style>
  <w:style w:type="character" w:styleId="Numeropagina">
    <w:name w:val="page number"/>
    <w:basedOn w:val="Carpredefinitoparagrafo"/>
    <w:rsid w:val="000D194B"/>
  </w:style>
  <w:style w:type="character" w:customStyle="1" w:styleId="PidipaginaCarattere">
    <w:name w:val="Piè di pagina Carattere"/>
    <w:link w:val="Pidipagina"/>
    <w:semiHidden/>
    <w:locked/>
    <w:rsid w:val="00D67F8C"/>
    <w:rPr>
      <w:sz w:val="24"/>
      <w:szCs w:val="24"/>
      <w:lang w:val="it-IT" w:eastAsia="it-IT" w:bidi="ar-SA"/>
    </w:rPr>
  </w:style>
  <w:style w:type="paragraph" w:customStyle="1" w:styleId="Default">
    <w:name w:val="Default"/>
    <w:rsid w:val="004F762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Collegamentoipertestuale">
    <w:name w:val="Hyperlink"/>
    <w:rsid w:val="009F58FD"/>
    <w:rPr>
      <w:color w:val="0000FF"/>
      <w:u w:val="single"/>
    </w:rPr>
  </w:style>
  <w:style w:type="character" w:styleId="Enfasigrassetto">
    <w:name w:val="Strong"/>
    <w:qFormat/>
    <w:rsid w:val="009F58FD"/>
    <w:rPr>
      <w:b/>
      <w:bCs/>
    </w:rPr>
  </w:style>
  <w:style w:type="character" w:styleId="Enfasicorsivo">
    <w:name w:val="Emphasis"/>
    <w:qFormat/>
    <w:rsid w:val="009F58FD"/>
    <w:rPr>
      <w:i/>
      <w:iCs/>
    </w:rPr>
  </w:style>
  <w:style w:type="paragraph" w:customStyle="1" w:styleId="Paragrafoelenco1">
    <w:name w:val="Paragrafo elenco1"/>
    <w:basedOn w:val="Normale"/>
    <w:rsid w:val="009516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 n</vt:lpstr>
    </vt:vector>
  </TitlesOfParts>
  <Company>Comune di Falconara M.ma</Company>
  <LinksUpToDate>false</LinksUpToDate>
  <CharactersWithSpaces>19046</CharactersWithSpaces>
  <SharedDoc>false</SharedDoc>
  <HLinks>
    <vt:vector size="6" baseType="variant">
      <vt:variant>
        <vt:i4>4194398</vt:i4>
      </vt:variant>
      <vt:variant>
        <vt:i4>-1</vt:i4>
      </vt:variant>
      <vt:variant>
        <vt:i4>2049</vt:i4>
      </vt:variant>
      <vt:variant>
        <vt:i4>1</vt:i4>
      </vt:variant>
      <vt:variant>
        <vt:lpwstr>z:/CARTELLA COMUNE/Ufficio Urbanistica/System/Stemma.BMP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 n</dc:title>
  <dc:creator>simone ragaglia</dc:creator>
  <cp:lastModifiedBy>GambararaSimona</cp:lastModifiedBy>
  <cp:revision>5</cp:revision>
  <cp:lastPrinted>2017-02-16T10:54:00Z</cp:lastPrinted>
  <dcterms:created xsi:type="dcterms:W3CDTF">2017-02-24T11:09:00Z</dcterms:created>
  <dcterms:modified xsi:type="dcterms:W3CDTF">2017-02-28T09:43:00Z</dcterms:modified>
</cp:coreProperties>
</file>